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55"/>
      </w:pPr>
      <w:r>
        <w:rPr>
          <w:spacing w:val="-27"/>
        </w:rPr>
        <w:t>附件</w:t>
      </w:r>
      <w:r>
        <w:rPr>
          <w:spacing w:val="-9"/>
        </w:rPr>
        <w:t>1：</w:t>
      </w:r>
    </w:p>
    <w:p>
      <w:pPr>
        <w:pStyle w:val="3"/>
        <w:spacing w:before="10"/>
        <w:rPr>
          <w:sz w:val="48"/>
        </w:rPr>
      </w:pPr>
      <w:r>
        <w:br w:type="column"/>
      </w:r>
    </w:p>
    <w:p>
      <w:pPr>
        <w:pStyle w:val="2"/>
      </w:pPr>
      <w:r>
        <w:t xml:space="preserve">略阳县 </w:t>
      </w:r>
      <w:r>
        <w:rPr>
          <w:rFonts w:ascii="Times New Roman" w:eastAsia="Times New Roman"/>
        </w:rPr>
        <w:t xml:space="preserve">2024 </w:t>
      </w:r>
      <w:r>
        <w:t>年度双随机部门抽查计划（第一批次）</w:t>
      </w:r>
    </w:p>
    <w:p>
      <w:pPr>
        <w:spacing w:after="0"/>
        <w:sectPr>
          <w:type w:val="continuous"/>
          <w:pgSz w:w="16840" w:h="11910" w:orient="landscape"/>
          <w:pgMar w:top="1580" w:right="1240" w:bottom="280" w:left="1240" w:header="720" w:footer="720" w:gutter="0"/>
          <w:cols w:equalWidth="0" w:num="2">
            <w:col w:w="2029" w:space="40"/>
            <w:col w:w="12291"/>
          </w:cols>
        </w:sectPr>
      </w:pPr>
    </w:p>
    <w:p>
      <w:pPr>
        <w:pStyle w:val="3"/>
        <w:spacing w:before="1"/>
        <w:rPr>
          <w:rFonts w:ascii="宋体"/>
          <w:b/>
          <w:sz w:val="10"/>
        </w:rPr>
      </w:pPr>
    </w:p>
    <w:p>
      <w:pPr>
        <w:tabs>
          <w:tab w:val="left" w:pos="10140"/>
        </w:tabs>
        <w:spacing w:before="62"/>
        <w:ind w:left="480" w:right="0" w:firstLine="0"/>
        <w:jc w:val="left"/>
        <w:rPr>
          <w:rFonts w:hint="default" w:ascii="宋体" w:eastAsia="宋体"/>
          <w:sz w:val="28"/>
          <w:lang w:val="en-US" w:eastAsia="zh-CN"/>
        </w:rPr>
      </w:pPr>
      <w:r>
        <w:rPr>
          <w:rFonts w:hint="eastAsia" w:ascii="宋体" w:eastAsia="宋体"/>
          <w:sz w:val="28"/>
        </w:rPr>
        <w:t>单</w:t>
      </w:r>
      <w:r>
        <w:rPr>
          <w:rFonts w:hint="eastAsia" w:ascii="宋体" w:eastAsia="宋体"/>
          <w:spacing w:val="-3"/>
          <w:sz w:val="28"/>
        </w:rPr>
        <w:t>位</w:t>
      </w:r>
      <w:r>
        <w:rPr>
          <w:rFonts w:hint="eastAsia" w:ascii="宋体" w:eastAsia="宋体"/>
          <w:sz w:val="28"/>
        </w:rPr>
        <w:t>：</w:t>
      </w:r>
      <w:r>
        <w:rPr>
          <w:rFonts w:hint="eastAsia" w:ascii="宋体" w:eastAsia="宋体"/>
          <w:sz w:val="28"/>
          <w:lang w:val="en-US" w:eastAsia="zh-CN"/>
        </w:rPr>
        <w:t>略阳县发展和改革局</w:t>
      </w:r>
      <w:r>
        <w:rPr>
          <w:rFonts w:hint="eastAsia" w:ascii="宋体" w:eastAsia="宋体"/>
          <w:sz w:val="28"/>
        </w:rPr>
        <w:tab/>
      </w:r>
      <w:r>
        <w:rPr>
          <w:rFonts w:hint="eastAsia" w:ascii="宋体" w:eastAsia="宋体"/>
          <w:sz w:val="28"/>
        </w:rPr>
        <w:t>填</w:t>
      </w:r>
      <w:r>
        <w:rPr>
          <w:rFonts w:hint="eastAsia" w:ascii="宋体" w:eastAsia="宋体"/>
          <w:spacing w:val="-3"/>
          <w:sz w:val="28"/>
        </w:rPr>
        <w:t>报</w:t>
      </w:r>
      <w:r>
        <w:rPr>
          <w:rFonts w:hint="eastAsia" w:ascii="宋体" w:eastAsia="宋体"/>
          <w:sz w:val="28"/>
        </w:rPr>
        <w:t>日期：</w:t>
      </w:r>
      <w:r>
        <w:rPr>
          <w:rFonts w:hint="eastAsia" w:ascii="宋体" w:eastAsia="宋体"/>
          <w:sz w:val="28"/>
          <w:lang w:val="en-US" w:eastAsia="zh-CN"/>
        </w:rPr>
        <w:t>2024.2.23</w:t>
      </w:r>
    </w:p>
    <w:p>
      <w:pPr>
        <w:pStyle w:val="3"/>
        <w:spacing w:before="3"/>
        <w:rPr>
          <w:rFonts w:ascii="宋体"/>
          <w:sz w:val="10"/>
        </w:rPr>
      </w:pPr>
    </w:p>
    <w:tbl>
      <w:tblPr>
        <w:tblStyle w:val="4"/>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7"/>
        <w:gridCol w:w="1804"/>
        <w:gridCol w:w="1046"/>
        <w:gridCol w:w="2550"/>
        <w:gridCol w:w="1470"/>
        <w:gridCol w:w="1335"/>
        <w:gridCol w:w="1450"/>
        <w:gridCol w:w="1550"/>
        <w:gridCol w:w="1331"/>
        <w:gridCol w:w="11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67" w:type="dxa"/>
          </w:tcPr>
          <w:p>
            <w:pPr>
              <w:pStyle w:val="8"/>
              <w:spacing w:before="1"/>
              <w:jc w:val="center"/>
              <w:rPr>
                <w:sz w:val="28"/>
              </w:rPr>
            </w:pPr>
          </w:p>
          <w:p>
            <w:pPr>
              <w:pStyle w:val="8"/>
              <w:spacing w:before="1"/>
              <w:jc w:val="center"/>
              <w:rPr>
                <w:sz w:val="28"/>
              </w:rPr>
            </w:pPr>
            <w:r>
              <w:rPr>
                <w:sz w:val="28"/>
              </w:rPr>
              <w:t>序号</w:t>
            </w:r>
          </w:p>
        </w:tc>
        <w:tc>
          <w:tcPr>
            <w:tcW w:w="1804" w:type="dxa"/>
          </w:tcPr>
          <w:p>
            <w:pPr>
              <w:pStyle w:val="8"/>
              <w:keepNext w:val="0"/>
              <w:keepLines w:val="0"/>
              <w:pageBreakBefore w:val="0"/>
              <w:widowControl w:val="0"/>
              <w:kinsoku/>
              <w:wordWrap/>
              <w:overflowPunct/>
              <w:topLinePunct w:val="0"/>
              <w:autoSpaceDE w:val="0"/>
              <w:autoSpaceDN w:val="0"/>
              <w:bidi w:val="0"/>
              <w:adjustRightInd/>
              <w:snapToGrid/>
              <w:spacing w:before="0"/>
              <w:jc w:val="center"/>
              <w:textAlignment w:val="auto"/>
              <w:rPr>
                <w:spacing w:val="-2"/>
                <w:sz w:val="28"/>
              </w:rPr>
            </w:pPr>
          </w:p>
          <w:p>
            <w:pPr>
              <w:pStyle w:val="8"/>
              <w:keepNext w:val="0"/>
              <w:keepLines w:val="0"/>
              <w:pageBreakBefore w:val="0"/>
              <w:widowControl w:val="0"/>
              <w:kinsoku/>
              <w:wordWrap/>
              <w:overflowPunct/>
              <w:topLinePunct w:val="0"/>
              <w:autoSpaceDE w:val="0"/>
              <w:autoSpaceDN w:val="0"/>
              <w:bidi w:val="0"/>
              <w:adjustRightInd/>
              <w:snapToGrid/>
              <w:spacing w:before="0"/>
              <w:jc w:val="center"/>
              <w:textAlignment w:val="auto"/>
              <w:rPr>
                <w:spacing w:val="-2"/>
                <w:sz w:val="28"/>
              </w:rPr>
            </w:pPr>
            <w:r>
              <w:rPr>
                <w:spacing w:val="-2"/>
                <w:sz w:val="28"/>
              </w:rPr>
              <w:t>抽查计划</w:t>
            </w:r>
          </w:p>
          <w:p>
            <w:pPr>
              <w:pStyle w:val="8"/>
              <w:keepNext w:val="0"/>
              <w:keepLines w:val="0"/>
              <w:pageBreakBefore w:val="0"/>
              <w:widowControl w:val="0"/>
              <w:kinsoku/>
              <w:wordWrap/>
              <w:overflowPunct/>
              <w:topLinePunct w:val="0"/>
              <w:autoSpaceDE w:val="0"/>
              <w:autoSpaceDN w:val="0"/>
              <w:bidi w:val="0"/>
              <w:adjustRightInd/>
              <w:snapToGrid/>
              <w:spacing w:before="0"/>
              <w:jc w:val="center"/>
              <w:textAlignment w:val="auto"/>
              <w:rPr>
                <w:sz w:val="28"/>
              </w:rPr>
            </w:pPr>
            <w:r>
              <w:rPr>
                <w:spacing w:val="-2"/>
                <w:sz w:val="28"/>
              </w:rPr>
              <w:t>名称</w:t>
            </w:r>
          </w:p>
        </w:tc>
        <w:tc>
          <w:tcPr>
            <w:tcW w:w="1046" w:type="dxa"/>
          </w:tcPr>
          <w:p>
            <w:pPr>
              <w:pStyle w:val="8"/>
              <w:spacing w:before="1"/>
              <w:jc w:val="center"/>
              <w:rPr>
                <w:sz w:val="28"/>
              </w:rPr>
            </w:pPr>
          </w:p>
          <w:p>
            <w:pPr>
              <w:pStyle w:val="8"/>
              <w:spacing w:before="1"/>
              <w:jc w:val="center"/>
              <w:rPr>
                <w:sz w:val="28"/>
              </w:rPr>
            </w:pPr>
            <w:r>
              <w:rPr>
                <w:sz w:val="28"/>
              </w:rPr>
              <w:t>事项</w:t>
            </w:r>
          </w:p>
          <w:p>
            <w:pPr>
              <w:pStyle w:val="8"/>
              <w:spacing w:before="1"/>
              <w:jc w:val="center"/>
              <w:rPr>
                <w:sz w:val="28"/>
              </w:rPr>
            </w:pPr>
            <w:r>
              <w:rPr>
                <w:sz w:val="28"/>
              </w:rPr>
              <w:t>类别</w:t>
            </w:r>
          </w:p>
        </w:tc>
        <w:tc>
          <w:tcPr>
            <w:tcW w:w="2550" w:type="dxa"/>
          </w:tcPr>
          <w:p>
            <w:pPr>
              <w:pStyle w:val="8"/>
              <w:spacing w:before="9"/>
              <w:rPr>
                <w:sz w:val="34"/>
              </w:rPr>
            </w:pPr>
          </w:p>
          <w:p>
            <w:pPr>
              <w:pStyle w:val="8"/>
              <w:spacing w:before="1"/>
              <w:jc w:val="center"/>
              <w:rPr>
                <w:sz w:val="28"/>
              </w:rPr>
            </w:pPr>
            <w:r>
              <w:rPr>
                <w:sz w:val="28"/>
              </w:rPr>
              <w:t>抽查事项</w:t>
            </w:r>
          </w:p>
        </w:tc>
        <w:tc>
          <w:tcPr>
            <w:tcW w:w="1470" w:type="dxa"/>
          </w:tcPr>
          <w:p>
            <w:pPr>
              <w:pStyle w:val="8"/>
              <w:spacing w:before="9"/>
              <w:rPr>
                <w:sz w:val="34"/>
              </w:rPr>
            </w:pPr>
          </w:p>
          <w:p>
            <w:pPr>
              <w:pStyle w:val="8"/>
              <w:spacing w:before="1"/>
              <w:jc w:val="center"/>
              <w:rPr>
                <w:sz w:val="28"/>
              </w:rPr>
            </w:pPr>
            <w:r>
              <w:rPr>
                <w:sz w:val="28"/>
              </w:rPr>
              <w:t>检查对象</w:t>
            </w:r>
          </w:p>
        </w:tc>
        <w:tc>
          <w:tcPr>
            <w:tcW w:w="1335" w:type="dxa"/>
          </w:tcPr>
          <w:p>
            <w:pPr>
              <w:pStyle w:val="8"/>
              <w:keepNext w:val="0"/>
              <w:keepLines w:val="0"/>
              <w:pageBreakBefore w:val="0"/>
              <w:widowControl w:val="0"/>
              <w:kinsoku/>
              <w:wordWrap/>
              <w:overflowPunct/>
              <w:topLinePunct w:val="0"/>
              <w:autoSpaceDE w:val="0"/>
              <w:autoSpaceDN w:val="0"/>
              <w:bidi w:val="0"/>
              <w:adjustRightInd/>
              <w:snapToGrid/>
              <w:spacing w:before="0"/>
              <w:ind w:right="137"/>
              <w:jc w:val="center"/>
              <w:textAlignment w:val="auto"/>
              <w:rPr>
                <w:sz w:val="28"/>
              </w:rPr>
            </w:pPr>
          </w:p>
          <w:p>
            <w:pPr>
              <w:pStyle w:val="8"/>
              <w:keepNext w:val="0"/>
              <w:keepLines w:val="0"/>
              <w:pageBreakBefore w:val="0"/>
              <w:widowControl w:val="0"/>
              <w:kinsoku/>
              <w:wordWrap/>
              <w:overflowPunct/>
              <w:topLinePunct w:val="0"/>
              <w:autoSpaceDE w:val="0"/>
              <w:autoSpaceDN w:val="0"/>
              <w:bidi w:val="0"/>
              <w:adjustRightInd/>
              <w:snapToGrid/>
              <w:spacing w:before="0"/>
              <w:ind w:right="137"/>
              <w:jc w:val="center"/>
              <w:textAlignment w:val="auto"/>
              <w:rPr>
                <w:sz w:val="28"/>
              </w:rPr>
            </w:pPr>
            <w:r>
              <w:rPr>
                <w:sz w:val="28"/>
              </w:rPr>
              <w:t>抽查比例</w:t>
            </w:r>
          </w:p>
          <w:p>
            <w:pPr>
              <w:pStyle w:val="8"/>
              <w:keepNext w:val="0"/>
              <w:keepLines w:val="0"/>
              <w:pageBreakBefore w:val="0"/>
              <w:widowControl w:val="0"/>
              <w:kinsoku/>
              <w:wordWrap/>
              <w:overflowPunct/>
              <w:topLinePunct w:val="0"/>
              <w:autoSpaceDE w:val="0"/>
              <w:autoSpaceDN w:val="0"/>
              <w:bidi w:val="0"/>
              <w:adjustRightInd/>
              <w:snapToGrid/>
              <w:spacing w:before="0"/>
              <w:ind w:left="146" w:right="137"/>
              <w:jc w:val="center"/>
              <w:textAlignment w:val="auto"/>
              <w:rPr>
                <w:sz w:val="28"/>
              </w:rPr>
            </w:pPr>
            <w:r>
              <w:rPr>
                <w:sz w:val="28"/>
              </w:rPr>
              <w:t>（</w:t>
            </w:r>
            <w:r>
              <w:rPr>
                <w:rFonts w:ascii="Times New Roman" w:eastAsia="Times New Roman"/>
                <w:sz w:val="28"/>
              </w:rPr>
              <w:t>%</w:t>
            </w:r>
            <w:r>
              <w:rPr>
                <w:sz w:val="28"/>
              </w:rPr>
              <w:t>）</w:t>
            </w:r>
          </w:p>
        </w:tc>
        <w:tc>
          <w:tcPr>
            <w:tcW w:w="1450" w:type="dxa"/>
          </w:tcPr>
          <w:p>
            <w:pPr>
              <w:pStyle w:val="8"/>
              <w:keepNext w:val="0"/>
              <w:keepLines w:val="0"/>
              <w:pageBreakBefore w:val="0"/>
              <w:widowControl w:val="0"/>
              <w:kinsoku/>
              <w:wordWrap/>
              <w:overflowPunct/>
              <w:topLinePunct w:val="0"/>
              <w:autoSpaceDE w:val="0"/>
              <w:autoSpaceDN w:val="0"/>
              <w:bidi w:val="0"/>
              <w:adjustRightInd/>
              <w:snapToGrid/>
              <w:spacing w:before="0"/>
              <w:ind w:left="221"/>
              <w:textAlignment w:val="auto"/>
              <w:rPr>
                <w:spacing w:val="-2"/>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221"/>
              <w:textAlignment w:val="auto"/>
              <w:rPr>
                <w:sz w:val="20"/>
              </w:rPr>
            </w:pPr>
            <w:r>
              <w:rPr>
                <w:spacing w:val="-2"/>
                <w:sz w:val="28"/>
              </w:rPr>
              <w:t>抽取检查</w:t>
            </w:r>
          </w:p>
          <w:p>
            <w:pPr>
              <w:pStyle w:val="8"/>
              <w:keepNext w:val="0"/>
              <w:keepLines w:val="0"/>
              <w:pageBreakBefore w:val="0"/>
              <w:widowControl w:val="0"/>
              <w:kinsoku/>
              <w:wordWrap/>
              <w:overflowPunct/>
              <w:topLinePunct w:val="0"/>
              <w:autoSpaceDE w:val="0"/>
              <w:autoSpaceDN w:val="0"/>
              <w:bidi w:val="0"/>
              <w:adjustRightInd/>
              <w:snapToGrid/>
              <w:spacing w:before="0"/>
              <w:ind w:left="221"/>
              <w:textAlignment w:val="auto"/>
              <w:rPr>
                <w:sz w:val="28"/>
              </w:rPr>
            </w:pPr>
            <w:r>
              <w:rPr>
                <w:spacing w:val="-2"/>
                <w:sz w:val="28"/>
              </w:rPr>
              <w:t>对象数量</w:t>
            </w:r>
          </w:p>
        </w:tc>
        <w:tc>
          <w:tcPr>
            <w:tcW w:w="1550" w:type="dxa"/>
          </w:tcPr>
          <w:p>
            <w:pPr>
              <w:pStyle w:val="8"/>
              <w:keepNext w:val="0"/>
              <w:keepLines w:val="0"/>
              <w:pageBreakBefore w:val="0"/>
              <w:widowControl w:val="0"/>
              <w:kinsoku/>
              <w:wordWrap/>
              <w:overflowPunct/>
              <w:topLinePunct w:val="0"/>
              <w:autoSpaceDE w:val="0"/>
              <w:autoSpaceDN w:val="0"/>
              <w:bidi w:val="0"/>
              <w:adjustRightInd/>
              <w:snapToGrid/>
              <w:spacing w:before="0"/>
              <w:ind w:left="147" w:right="136"/>
              <w:jc w:val="center"/>
              <w:textAlignment w:val="auto"/>
              <w:rPr>
                <w:sz w:val="28"/>
              </w:rPr>
            </w:pPr>
          </w:p>
          <w:p>
            <w:pPr>
              <w:pStyle w:val="8"/>
              <w:keepNext w:val="0"/>
              <w:keepLines w:val="0"/>
              <w:pageBreakBefore w:val="0"/>
              <w:widowControl w:val="0"/>
              <w:kinsoku/>
              <w:wordWrap/>
              <w:overflowPunct/>
              <w:topLinePunct w:val="0"/>
              <w:autoSpaceDE w:val="0"/>
              <w:autoSpaceDN w:val="0"/>
              <w:bidi w:val="0"/>
              <w:adjustRightInd/>
              <w:snapToGrid/>
              <w:spacing w:before="0"/>
              <w:ind w:left="147" w:right="136"/>
              <w:jc w:val="center"/>
              <w:textAlignment w:val="auto"/>
              <w:rPr>
                <w:sz w:val="20"/>
              </w:rPr>
            </w:pPr>
            <w:r>
              <w:rPr>
                <w:sz w:val="28"/>
              </w:rPr>
              <w:t>抽查检查</w:t>
            </w:r>
          </w:p>
          <w:p>
            <w:pPr>
              <w:pStyle w:val="8"/>
              <w:keepNext w:val="0"/>
              <w:keepLines w:val="0"/>
              <w:pageBreakBefore w:val="0"/>
              <w:widowControl w:val="0"/>
              <w:kinsoku/>
              <w:wordWrap/>
              <w:overflowPunct/>
              <w:topLinePunct w:val="0"/>
              <w:autoSpaceDE w:val="0"/>
              <w:autoSpaceDN w:val="0"/>
              <w:bidi w:val="0"/>
              <w:adjustRightInd/>
              <w:snapToGrid/>
              <w:spacing w:before="0"/>
              <w:ind w:left="144" w:right="136"/>
              <w:jc w:val="center"/>
              <w:textAlignment w:val="auto"/>
              <w:rPr>
                <w:sz w:val="28"/>
              </w:rPr>
            </w:pPr>
            <w:r>
              <w:rPr>
                <w:sz w:val="28"/>
              </w:rPr>
              <w:t>日期</w:t>
            </w:r>
          </w:p>
        </w:tc>
        <w:tc>
          <w:tcPr>
            <w:tcW w:w="1331" w:type="dxa"/>
          </w:tcPr>
          <w:p>
            <w:pPr>
              <w:pStyle w:val="8"/>
              <w:spacing w:before="9"/>
              <w:rPr>
                <w:sz w:val="34"/>
              </w:rPr>
            </w:pPr>
          </w:p>
          <w:p>
            <w:pPr>
              <w:pStyle w:val="8"/>
              <w:spacing w:before="1"/>
              <w:ind w:left="107"/>
              <w:rPr>
                <w:sz w:val="28"/>
              </w:rPr>
            </w:pPr>
            <w:r>
              <w:rPr>
                <w:sz w:val="28"/>
              </w:rPr>
              <w:t>牵头单位</w:t>
            </w:r>
          </w:p>
        </w:tc>
        <w:tc>
          <w:tcPr>
            <w:tcW w:w="1122" w:type="dxa"/>
          </w:tcPr>
          <w:p>
            <w:pPr>
              <w:pStyle w:val="8"/>
              <w:spacing w:before="9"/>
              <w:rPr>
                <w:sz w:val="34"/>
              </w:rPr>
            </w:pPr>
          </w:p>
          <w:p>
            <w:pPr>
              <w:pStyle w:val="8"/>
              <w:spacing w:before="1"/>
              <w:ind w:left="280"/>
              <w:rPr>
                <w:sz w:val="28"/>
              </w:rPr>
            </w:pPr>
            <w:r>
              <w:rPr>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3" w:hRule="atLeast"/>
        </w:trPr>
        <w:tc>
          <w:tcPr>
            <w:tcW w:w="467" w:type="dxa"/>
          </w:tcPr>
          <w:p>
            <w:pPr>
              <w:pStyle w:val="8"/>
              <w:jc w:val="center"/>
              <w:rPr>
                <w:rFonts w:hint="eastAsia" w:ascii="Times New Roman"/>
                <w:sz w:val="22"/>
                <w:lang w:val="en-US" w:eastAsia="zh-CN"/>
              </w:rPr>
            </w:pPr>
          </w:p>
          <w:p>
            <w:pPr>
              <w:pStyle w:val="8"/>
              <w:jc w:val="center"/>
              <w:rPr>
                <w:rFonts w:hint="eastAsia" w:ascii="Times New Roman"/>
                <w:sz w:val="22"/>
                <w:lang w:val="en-US" w:eastAsia="zh-CN"/>
              </w:rPr>
            </w:pPr>
          </w:p>
          <w:p>
            <w:pPr>
              <w:pStyle w:val="8"/>
              <w:jc w:val="center"/>
              <w:rPr>
                <w:rFonts w:hint="eastAsia" w:ascii="Times New Roman"/>
                <w:sz w:val="22"/>
                <w:lang w:val="en-US" w:eastAsia="zh-CN"/>
              </w:rPr>
            </w:pPr>
          </w:p>
          <w:p>
            <w:pPr>
              <w:pStyle w:val="8"/>
              <w:jc w:val="center"/>
              <w:rPr>
                <w:rFonts w:hint="eastAsia" w:ascii="Times New Roman"/>
                <w:sz w:val="22"/>
                <w:lang w:val="en-US" w:eastAsia="zh-CN"/>
              </w:rPr>
            </w:pPr>
          </w:p>
          <w:p>
            <w:pPr>
              <w:pStyle w:val="8"/>
              <w:jc w:val="center"/>
              <w:rPr>
                <w:rFonts w:hint="eastAsia" w:ascii="Times New Roman"/>
                <w:sz w:val="22"/>
                <w:lang w:val="en-US" w:eastAsia="zh-CN"/>
              </w:rPr>
            </w:pPr>
          </w:p>
          <w:p>
            <w:pPr>
              <w:pStyle w:val="8"/>
              <w:jc w:val="center"/>
              <w:rPr>
                <w:rFonts w:hint="eastAsia" w:ascii="Times New Roman"/>
                <w:sz w:val="22"/>
                <w:lang w:val="en-US" w:eastAsia="zh-CN"/>
              </w:rPr>
            </w:pPr>
          </w:p>
          <w:p>
            <w:pPr>
              <w:pStyle w:val="8"/>
              <w:jc w:val="center"/>
              <w:rPr>
                <w:rFonts w:hint="eastAsia" w:ascii="Times New Roman" w:eastAsia="宋体"/>
                <w:sz w:val="22"/>
                <w:lang w:val="en-US" w:eastAsia="zh-CN"/>
              </w:rPr>
            </w:pPr>
            <w:r>
              <w:rPr>
                <w:rFonts w:hint="eastAsia" w:ascii="Times New Roman"/>
                <w:sz w:val="22"/>
                <w:lang w:val="en-US" w:eastAsia="zh-CN"/>
              </w:rPr>
              <w:t>1</w:t>
            </w:r>
          </w:p>
        </w:tc>
        <w:tc>
          <w:tcPr>
            <w:tcW w:w="180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重点公共建筑</w:t>
            </w:r>
          </w:p>
          <w:p>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sz w:val="24"/>
                <w:szCs w:val="24"/>
                <w:u w:val="none"/>
                <w:lang w:val="en-US" w:eastAsia="zh-CN"/>
              </w:rPr>
              <w:t>节能监督检查</w:t>
            </w:r>
          </w:p>
        </w:tc>
        <w:tc>
          <w:tcPr>
            <w:tcW w:w="1046" w:type="dxa"/>
            <w:vAlign w:val="center"/>
          </w:tcPr>
          <w:p>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sz w:val="24"/>
                <w:szCs w:val="24"/>
                <w:u w:val="none"/>
                <w:lang w:val="en-US" w:eastAsia="zh-CN"/>
              </w:rPr>
              <w:t>一般检查事项</w:t>
            </w:r>
          </w:p>
        </w:tc>
        <w:tc>
          <w:tcPr>
            <w:tcW w:w="2550" w:type="dxa"/>
            <w:vAlign w:val="center"/>
          </w:tcPr>
          <w:p>
            <w:pPr>
              <w:keepNext w:val="0"/>
              <w:keepLines w:val="0"/>
              <w:widowControl/>
              <w:suppressLineNumbers w:val="0"/>
              <w:ind w:left="0" w:leftChars="0" w:right="0" w:rightChars="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sz w:val="24"/>
                <w:szCs w:val="24"/>
                <w:u w:val="none"/>
                <w:lang w:val="en-US" w:eastAsia="zh-CN"/>
              </w:rPr>
              <w:t>公共建筑空调温度控制的执行情况</w:t>
            </w:r>
          </w:p>
        </w:tc>
        <w:tc>
          <w:tcPr>
            <w:tcW w:w="1470" w:type="dxa"/>
            <w:vAlign w:val="center"/>
          </w:tcPr>
          <w:p>
            <w:pPr>
              <w:keepNext w:val="0"/>
              <w:keepLines w:val="0"/>
              <w:widowControl/>
              <w:suppressLineNumbers w:val="0"/>
              <w:ind w:left="0" w:leftChars="0" w:right="0" w:rightChars="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sz w:val="24"/>
                <w:szCs w:val="24"/>
                <w:u w:val="none"/>
                <w:lang w:val="en-US" w:eastAsia="zh-CN"/>
              </w:rPr>
              <w:t>列入《略阳县重点公共建筑检查对象名录库》的单位</w:t>
            </w:r>
          </w:p>
        </w:tc>
        <w:tc>
          <w:tcPr>
            <w:tcW w:w="1335" w:type="dxa"/>
            <w:vAlign w:val="center"/>
          </w:tcPr>
          <w:p>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50%</w:t>
            </w:r>
          </w:p>
        </w:tc>
        <w:tc>
          <w:tcPr>
            <w:tcW w:w="1450" w:type="dxa"/>
            <w:vAlign w:val="center"/>
          </w:tcPr>
          <w:p>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550"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202</w:t>
            </w:r>
            <w:r>
              <w:rPr>
                <w:rFonts w:hint="eastAsia" w:cs="仿宋_GB2312"/>
                <w:i w:val="0"/>
                <w:color w:val="auto"/>
                <w:kern w:val="0"/>
                <w:sz w:val="24"/>
                <w:szCs w:val="24"/>
                <w:u w:val="none"/>
                <w:lang w:val="en-US" w:eastAsia="zh-CN" w:bidi="ar"/>
              </w:rPr>
              <w:t>4</w:t>
            </w:r>
            <w:r>
              <w:rPr>
                <w:rFonts w:hint="eastAsia" w:ascii="仿宋_GB2312" w:hAnsi="仿宋_GB2312" w:eastAsia="仿宋_GB2312" w:cs="仿宋_GB2312"/>
                <w:i w:val="0"/>
                <w:color w:val="auto"/>
                <w:kern w:val="0"/>
                <w:sz w:val="24"/>
                <w:szCs w:val="24"/>
                <w:u w:val="none"/>
                <w:lang w:val="en-US" w:eastAsia="zh-CN" w:bidi="ar"/>
              </w:rPr>
              <w:t>.3.1--</w:t>
            </w:r>
          </w:p>
          <w:p>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color w:val="auto"/>
                <w:kern w:val="0"/>
                <w:sz w:val="24"/>
                <w:szCs w:val="24"/>
                <w:u w:val="none"/>
                <w:lang w:val="en-US" w:eastAsia="zh-CN" w:bidi="ar"/>
              </w:rPr>
              <w:t>20</w:t>
            </w:r>
            <w:r>
              <w:rPr>
                <w:rFonts w:hint="eastAsia" w:cs="仿宋_GB2312"/>
                <w:i w:val="0"/>
                <w:color w:val="auto"/>
                <w:kern w:val="0"/>
                <w:sz w:val="24"/>
                <w:szCs w:val="24"/>
                <w:u w:val="none"/>
                <w:lang w:val="en-US" w:eastAsia="zh-CN" w:bidi="ar"/>
              </w:rPr>
              <w:t>24</w:t>
            </w:r>
            <w:r>
              <w:rPr>
                <w:rFonts w:hint="eastAsia" w:ascii="仿宋_GB2312" w:hAnsi="仿宋_GB2312" w:eastAsia="仿宋_GB2312" w:cs="仿宋_GB2312"/>
                <w:i w:val="0"/>
                <w:color w:val="auto"/>
                <w:kern w:val="0"/>
                <w:sz w:val="24"/>
                <w:szCs w:val="24"/>
                <w:u w:val="none"/>
                <w:lang w:val="en-US" w:eastAsia="zh-CN" w:bidi="ar"/>
              </w:rPr>
              <w:t>.6.30</w:t>
            </w:r>
          </w:p>
        </w:tc>
        <w:tc>
          <w:tcPr>
            <w:tcW w:w="1331" w:type="dxa"/>
            <w:vAlign w:val="center"/>
          </w:tcPr>
          <w:p>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sz w:val="24"/>
                <w:szCs w:val="24"/>
                <w:u w:val="none"/>
                <w:lang w:val="en-US" w:eastAsia="zh-CN"/>
              </w:rPr>
              <w:t>县发改局</w:t>
            </w:r>
          </w:p>
        </w:tc>
        <w:tc>
          <w:tcPr>
            <w:tcW w:w="1122" w:type="dxa"/>
            <w:vAlign w:val="center"/>
          </w:tcPr>
          <w:p>
            <w:pPr>
              <w:keepNext w:val="0"/>
              <w:keepLines w:val="0"/>
              <w:widowControl/>
              <w:suppressLineNumbers w:val="0"/>
              <w:ind w:left="0" w:leftChars="0" w:right="0" w:rightChars="0"/>
              <w:jc w:val="center"/>
              <w:textAlignment w:val="center"/>
              <w:rPr>
                <w:rFonts w:ascii="Times New Roman"/>
                <w:sz w:val="22"/>
              </w:rPr>
            </w:pPr>
          </w:p>
        </w:tc>
      </w:tr>
    </w:tbl>
    <w:p>
      <w:pPr>
        <w:spacing w:before="28"/>
        <w:ind w:left="200" w:right="0" w:firstLine="0"/>
        <w:jc w:val="left"/>
        <w:rPr>
          <w:rFonts w:hint="eastAsia" w:ascii="宋体" w:eastAsia="宋体"/>
          <w:sz w:val="20"/>
        </w:rPr>
      </w:pPr>
    </w:p>
    <w:p>
      <w:pPr>
        <w:spacing w:before="28"/>
        <w:ind w:left="200" w:right="0" w:firstLine="0"/>
        <w:jc w:val="left"/>
        <w:rPr>
          <w:rFonts w:hint="eastAsia" w:ascii="宋体" w:eastAsia="宋体"/>
          <w:sz w:val="20"/>
        </w:rPr>
      </w:pPr>
      <w:r>
        <w:rPr>
          <w:rFonts w:hint="eastAsia" w:ascii="宋体" w:eastAsia="宋体"/>
          <w:sz w:val="20"/>
        </w:rPr>
        <w:t>注：1、事项类别为计划抽查检查事项的分类：一般检查事项或重点检查事项；抽查事项为计划抽查检查的事项；检查对象为计划抽查检查对象范围，具体参见</w:t>
      </w:r>
    </w:p>
    <w:p>
      <w:pPr>
        <w:spacing w:before="28"/>
        <w:ind w:left="200" w:right="0" w:firstLine="0"/>
        <w:jc w:val="left"/>
        <w:rPr>
          <w:rFonts w:hint="eastAsia" w:ascii="宋体" w:eastAsia="宋体"/>
          <w:sz w:val="20"/>
        </w:rPr>
      </w:pPr>
      <w:r>
        <w:rPr>
          <w:rFonts w:hint="eastAsia" w:ascii="宋体" w:eastAsia="宋体"/>
          <w:sz w:val="20"/>
        </w:rPr>
        <w:t>《陕西省市场监管局随机抽查事项清单》（第三版）；2、抽查比例为计划抽查的检查对象数量占检查对象名录库总数的比例；3、抽取检查对象数量为计划抽取被检查对象数量；4、抽查检查日期为随机摇号抽取被检查对象至完成抽查检查并公示检查结果的日期，抽查检查日期（范例）：例如 2024.1.1-2024.6.30。5、牵头单位为实际组织开展抽查计划单位名称。</w:t>
      </w:r>
    </w:p>
    <w:p>
      <w:pPr>
        <w:spacing w:after="0" w:line="292" w:lineRule="auto"/>
        <w:jc w:val="both"/>
        <w:rPr>
          <w:rFonts w:hint="eastAsia" w:ascii="宋体" w:eastAsia="宋体"/>
          <w:sz w:val="20"/>
        </w:rPr>
        <w:sectPr>
          <w:type w:val="continuous"/>
          <w:pgSz w:w="16840" w:h="11910" w:orient="landscape"/>
          <w:pgMar w:top="1580" w:right="1240" w:bottom="280" w:left="1240" w:header="720" w:footer="720" w:gutter="0"/>
          <w:cols w:space="720" w:num="1"/>
        </w:sectPr>
      </w:pPr>
    </w:p>
    <w:p>
      <w:pPr>
        <w:pStyle w:val="3"/>
        <w:rPr>
          <w:rFonts w:ascii="宋体"/>
          <w:sz w:val="20"/>
        </w:rPr>
      </w:pPr>
    </w:p>
    <w:p>
      <w:pPr>
        <w:pStyle w:val="3"/>
        <w:rPr>
          <w:rFonts w:ascii="宋体"/>
          <w:sz w:val="20"/>
        </w:rPr>
      </w:pPr>
    </w:p>
    <w:p>
      <w:pPr>
        <w:spacing w:before="56" w:line="292" w:lineRule="auto"/>
        <w:ind w:left="200" w:right="200" w:firstLine="0"/>
        <w:jc w:val="both"/>
        <w:rPr>
          <w:rFonts w:hint="eastAsia" w:ascii="宋体" w:eastAsia="宋体"/>
          <w:sz w:val="20"/>
        </w:rPr>
      </w:pPr>
    </w:p>
    <w:p>
      <w:pPr>
        <w:spacing w:before="56" w:line="292" w:lineRule="auto"/>
        <w:ind w:left="200" w:right="200" w:firstLine="0"/>
        <w:jc w:val="both"/>
        <w:rPr>
          <w:rFonts w:hint="eastAsia" w:ascii="宋体" w:eastAsia="宋体"/>
          <w:sz w:val="20"/>
        </w:rPr>
      </w:pPr>
    </w:p>
    <w:p>
      <w:pPr>
        <w:spacing w:before="56" w:line="292" w:lineRule="auto"/>
        <w:ind w:left="200" w:right="200" w:firstLine="0"/>
        <w:jc w:val="both"/>
        <w:rPr>
          <w:rFonts w:hint="eastAsia" w:ascii="宋体" w:eastAsia="宋体"/>
          <w:sz w:val="20"/>
        </w:rPr>
      </w:pPr>
    </w:p>
    <w:p>
      <w:pPr>
        <w:spacing w:before="56" w:line="292" w:lineRule="auto"/>
        <w:ind w:left="200" w:right="200" w:firstLine="0"/>
        <w:jc w:val="both"/>
        <w:rPr>
          <w:rFonts w:hint="eastAsia" w:ascii="宋体" w:eastAsia="宋体"/>
          <w:sz w:val="20"/>
        </w:rPr>
      </w:pPr>
    </w:p>
    <w:p>
      <w:pPr>
        <w:spacing w:before="56" w:line="292" w:lineRule="auto"/>
        <w:ind w:left="200" w:right="200" w:firstLine="0"/>
        <w:jc w:val="both"/>
        <w:rPr>
          <w:rFonts w:hint="eastAsia" w:ascii="宋体" w:eastAsia="宋体"/>
          <w:sz w:val="20"/>
        </w:rPr>
      </w:pPr>
    </w:p>
    <w:p>
      <w:pPr>
        <w:pStyle w:val="2"/>
      </w:pPr>
    </w:p>
    <w:p>
      <w:pPr>
        <w:pStyle w:val="2"/>
      </w:pPr>
    </w:p>
    <w:p>
      <w:pPr>
        <w:pStyle w:val="2"/>
      </w:pPr>
    </w:p>
    <w:p>
      <w:pPr>
        <w:pStyle w:val="3"/>
        <w:spacing w:before="55"/>
        <w:rPr>
          <w:spacing w:val="-27"/>
        </w:rPr>
      </w:pPr>
      <w:r>
        <w:rPr>
          <w:spacing w:val="-27"/>
        </w:rPr>
        <w:t>附件</w:t>
      </w:r>
      <w:r>
        <w:rPr>
          <w:rFonts w:hint="eastAsia"/>
          <w:spacing w:val="-27"/>
          <w:lang w:val="en-US" w:eastAsia="zh-CN"/>
        </w:rPr>
        <w:t>2</w:t>
      </w:r>
      <w:r>
        <w:rPr>
          <w:spacing w:val="-27"/>
        </w:rPr>
        <w:t>：</w:t>
      </w:r>
    </w:p>
    <w:p>
      <w:pPr>
        <w:pStyle w:val="2"/>
        <w:ind w:left="0" w:leftChars="0" w:firstLine="0" w:firstLineChars="0"/>
        <w:jc w:val="both"/>
        <w:rPr>
          <w:spacing w:val="-9"/>
        </w:rPr>
      </w:pPr>
    </w:p>
    <w:p>
      <w:pPr>
        <w:pStyle w:val="2"/>
        <w:ind w:left="0" w:leftChars="0" w:firstLine="0" w:firstLineChars="0"/>
        <w:jc w:val="both"/>
        <w:rPr>
          <w:spacing w:val="-9"/>
        </w:rPr>
      </w:pPr>
    </w:p>
    <w:p>
      <w:pPr>
        <w:pStyle w:val="2"/>
        <w:ind w:left="0" w:leftChars="0" w:firstLine="402" w:firstLineChars="100"/>
        <w:jc w:val="both"/>
        <w:rPr>
          <w:rFonts w:hint="eastAsia" w:ascii="宋体" w:hAnsi="宋体" w:eastAsia="宋体" w:cs="宋体"/>
        </w:rPr>
      </w:pPr>
      <w:r>
        <w:rPr>
          <w:rFonts w:hint="eastAsia" w:ascii="宋体" w:hAnsi="宋体" w:eastAsia="宋体" w:cs="宋体"/>
        </w:rPr>
        <w:t>略阳县2024年度双随机部门</w:t>
      </w:r>
      <w:r>
        <w:rPr>
          <w:rFonts w:hint="eastAsia" w:cs="宋体"/>
          <w:lang w:val="en-US" w:eastAsia="zh-CN"/>
        </w:rPr>
        <w:t>联合</w:t>
      </w:r>
      <w:r>
        <w:rPr>
          <w:rFonts w:hint="eastAsia" w:ascii="宋体" w:hAnsi="宋体" w:eastAsia="宋体" w:cs="宋体"/>
        </w:rPr>
        <w:t>抽查计划（第一批次）</w:t>
      </w:r>
    </w:p>
    <w:p>
      <w:pPr>
        <w:spacing w:after="0"/>
        <w:jc w:val="center"/>
        <w:sectPr>
          <w:type w:val="continuous"/>
          <w:pgSz w:w="16840" w:h="11910" w:orient="landscape"/>
          <w:pgMar w:top="1580" w:right="1240" w:bottom="280" w:left="1240" w:header="720" w:footer="720" w:gutter="0"/>
          <w:cols w:equalWidth="0" w:num="2">
            <w:col w:w="2029" w:space="40"/>
            <w:col w:w="12291"/>
          </w:cols>
        </w:sectPr>
      </w:pPr>
    </w:p>
    <w:p>
      <w:pPr>
        <w:pStyle w:val="3"/>
        <w:spacing w:before="1"/>
        <w:rPr>
          <w:rFonts w:ascii="宋体"/>
          <w:b/>
          <w:sz w:val="10"/>
        </w:rPr>
      </w:pPr>
    </w:p>
    <w:p>
      <w:pPr>
        <w:tabs>
          <w:tab w:val="left" w:pos="10140"/>
        </w:tabs>
        <w:spacing w:before="62"/>
        <w:ind w:left="480" w:right="0" w:firstLine="0"/>
        <w:jc w:val="left"/>
        <w:rPr>
          <w:rFonts w:hint="default" w:ascii="宋体" w:eastAsia="宋体"/>
          <w:sz w:val="28"/>
          <w:lang w:val="en-US" w:eastAsia="zh-CN"/>
        </w:rPr>
      </w:pPr>
      <w:r>
        <w:rPr>
          <w:rFonts w:hint="eastAsia" w:ascii="宋体" w:eastAsia="宋体"/>
          <w:sz w:val="28"/>
        </w:rPr>
        <w:t>单</w:t>
      </w:r>
      <w:r>
        <w:rPr>
          <w:rFonts w:hint="eastAsia" w:ascii="宋体" w:eastAsia="宋体"/>
          <w:spacing w:val="-3"/>
          <w:sz w:val="28"/>
        </w:rPr>
        <w:t>位</w:t>
      </w:r>
      <w:r>
        <w:rPr>
          <w:rFonts w:hint="eastAsia" w:ascii="宋体" w:eastAsia="宋体"/>
          <w:sz w:val="28"/>
        </w:rPr>
        <w:t>：</w:t>
      </w:r>
      <w:r>
        <w:rPr>
          <w:rFonts w:hint="eastAsia" w:ascii="宋体" w:eastAsia="宋体"/>
          <w:sz w:val="28"/>
          <w:lang w:val="en-US" w:eastAsia="zh-CN"/>
        </w:rPr>
        <w:t>略阳县发展和改革局</w:t>
      </w:r>
      <w:r>
        <w:rPr>
          <w:rFonts w:hint="eastAsia" w:ascii="宋体" w:eastAsia="宋体"/>
          <w:sz w:val="28"/>
        </w:rPr>
        <w:tab/>
      </w:r>
      <w:r>
        <w:rPr>
          <w:rFonts w:hint="eastAsia" w:ascii="宋体" w:eastAsia="宋体"/>
          <w:sz w:val="28"/>
        </w:rPr>
        <w:t>填</w:t>
      </w:r>
      <w:r>
        <w:rPr>
          <w:rFonts w:hint="eastAsia" w:ascii="宋体" w:eastAsia="宋体"/>
          <w:spacing w:val="-3"/>
          <w:sz w:val="28"/>
        </w:rPr>
        <w:t>报</w:t>
      </w:r>
      <w:r>
        <w:rPr>
          <w:rFonts w:hint="eastAsia" w:ascii="宋体" w:eastAsia="宋体"/>
          <w:sz w:val="28"/>
        </w:rPr>
        <w:t>日期：</w:t>
      </w:r>
      <w:r>
        <w:rPr>
          <w:rFonts w:hint="eastAsia" w:ascii="宋体" w:eastAsia="宋体"/>
          <w:sz w:val="28"/>
          <w:lang w:val="en-US" w:eastAsia="zh-CN"/>
        </w:rPr>
        <w:t>2024.2.23</w:t>
      </w:r>
      <w:bookmarkStart w:id="0" w:name="_GoBack"/>
      <w:bookmarkEnd w:id="0"/>
    </w:p>
    <w:tbl>
      <w:tblPr>
        <w:tblStyle w:val="4"/>
        <w:tblpPr w:leftFromText="180" w:rightFromText="180" w:vertAnchor="page" w:horzAnchor="page" w:tblpX="999" w:tblpY="3269"/>
        <w:tblOverlap w:val="never"/>
        <w:tblW w:w="148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7"/>
        <w:gridCol w:w="1503"/>
        <w:gridCol w:w="1065"/>
        <w:gridCol w:w="2505"/>
        <w:gridCol w:w="1767"/>
        <w:gridCol w:w="1335"/>
        <w:gridCol w:w="1450"/>
        <w:gridCol w:w="1463"/>
        <w:gridCol w:w="1418"/>
        <w:gridCol w:w="1122"/>
        <w:gridCol w:w="6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497" w:type="dxa"/>
          </w:tcPr>
          <w:p>
            <w:pPr>
              <w:pStyle w:val="8"/>
              <w:keepNext w:val="0"/>
              <w:keepLines w:val="0"/>
              <w:pageBreakBefore w:val="0"/>
              <w:widowControl w:val="0"/>
              <w:kinsoku/>
              <w:wordWrap/>
              <w:overflowPunct/>
              <w:topLinePunct w:val="0"/>
              <w:autoSpaceDE w:val="0"/>
              <w:autoSpaceDN w:val="0"/>
              <w:bidi w:val="0"/>
              <w:adjustRightInd/>
              <w:snapToGrid/>
              <w:spacing w:before="0"/>
              <w:jc w:val="both"/>
              <w:textAlignment w:val="auto"/>
              <w:rPr>
                <w:sz w:val="28"/>
              </w:rPr>
            </w:pPr>
          </w:p>
          <w:p>
            <w:pPr>
              <w:pStyle w:val="8"/>
              <w:keepNext w:val="0"/>
              <w:keepLines w:val="0"/>
              <w:pageBreakBefore w:val="0"/>
              <w:widowControl w:val="0"/>
              <w:kinsoku/>
              <w:wordWrap/>
              <w:overflowPunct/>
              <w:topLinePunct w:val="0"/>
              <w:autoSpaceDE w:val="0"/>
              <w:autoSpaceDN w:val="0"/>
              <w:bidi w:val="0"/>
              <w:adjustRightInd/>
              <w:snapToGrid/>
              <w:spacing w:before="0"/>
              <w:jc w:val="center"/>
              <w:textAlignment w:val="auto"/>
              <w:rPr>
                <w:sz w:val="28"/>
              </w:rPr>
            </w:pPr>
            <w:r>
              <w:rPr>
                <w:sz w:val="28"/>
              </w:rPr>
              <w:t>序号</w:t>
            </w:r>
          </w:p>
        </w:tc>
        <w:tc>
          <w:tcPr>
            <w:tcW w:w="1503" w:type="dxa"/>
          </w:tcPr>
          <w:p>
            <w:pPr>
              <w:pStyle w:val="8"/>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spacing w:val="-2"/>
                <w:sz w:val="28"/>
                <w:lang w:val="en-US" w:eastAsia="zh-CN"/>
              </w:rPr>
            </w:pPr>
          </w:p>
          <w:p>
            <w:pPr>
              <w:pStyle w:val="8"/>
              <w:keepNext w:val="0"/>
              <w:keepLines w:val="0"/>
              <w:pageBreakBefore w:val="0"/>
              <w:widowControl w:val="0"/>
              <w:kinsoku/>
              <w:wordWrap/>
              <w:overflowPunct/>
              <w:topLinePunct w:val="0"/>
              <w:autoSpaceDE w:val="0"/>
              <w:autoSpaceDN w:val="0"/>
              <w:bidi w:val="0"/>
              <w:adjustRightInd/>
              <w:snapToGrid/>
              <w:spacing w:before="0"/>
              <w:jc w:val="center"/>
              <w:textAlignment w:val="auto"/>
              <w:rPr>
                <w:spacing w:val="-2"/>
                <w:sz w:val="28"/>
              </w:rPr>
            </w:pPr>
            <w:r>
              <w:rPr>
                <w:rFonts w:hint="eastAsia"/>
                <w:spacing w:val="-2"/>
                <w:sz w:val="28"/>
                <w:lang w:val="en-US" w:eastAsia="zh-CN"/>
              </w:rPr>
              <w:t>联合</w:t>
            </w:r>
            <w:r>
              <w:rPr>
                <w:spacing w:val="-2"/>
                <w:sz w:val="28"/>
              </w:rPr>
              <w:t>抽查</w:t>
            </w:r>
          </w:p>
          <w:p>
            <w:pPr>
              <w:pStyle w:val="8"/>
              <w:keepNext w:val="0"/>
              <w:keepLines w:val="0"/>
              <w:pageBreakBefore w:val="0"/>
              <w:widowControl w:val="0"/>
              <w:kinsoku/>
              <w:wordWrap/>
              <w:overflowPunct/>
              <w:topLinePunct w:val="0"/>
              <w:autoSpaceDE w:val="0"/>
              <w:autoSpaceDN w:val="0"/>
              <w:bidi w:val="0"/>
              <w:adjustRightInd/>
              <w:snapToGrid/>
              <w:spacing w:before="0"/>
              <w:jc w:val="center"/>
              <w:textAlignment w:val="auto"/>
              <w:rPr>
                <w:sz w:val="28"/>
              </w:rPr>
            </w:pPr>
            <w:r>
              <w:rPr>
                <w:spacing w:val="-2"/>
                <w:sz w:val="28"/>
              </w:rPr>
              <w:t>计划名称</w:t>
            </w:r>
          </w:p>
        </w:tc>
        <w:tc>
          <w:tcPr>
            <w:tcW w:w="1065" w:type="dxa"/>
          </w:tcPr>
          <w:p>
            <w:pPr>
              <w:pStyle w:val="8"/>
              <w:keepNext w:val="0"/>
              <w:keepLines w:val="0"/>
              <w:pageBreakBefore w:val="0"/>
              <w:widowControl w:val="0"/>
              <w:kinsoku/>
              <w:wordWrap/>
              <w:overflowPunct/>
              <w:topLinePunct w:val="0"/>
              <w:autoSpaceDE w:val="0"/>
              <w:autoSpaceDN w:val="0"/>
              <w:bidi w:val="0"/>
              <w:adjustRightInd/>
              <w:snapToGrid/>
              <w:spacing w:before="0"/>
              <w:jc w:val="center"/>
              <w:textAlignment w:val="auto"/>
              <w:rPr>
                <w:sz w:val="28"/>
              </w:rPr>
            </w:pPr>
          </w:p>
          <w:p>
            <w:pPr>
              <w:pStyle w:val="8"/>
              <w:keepNext w:val="0"/>
              <w:keepLines w:val="0"/>
              <w:pageBreakBefore w:val="0"/>
              <w:widowControl w:val="0"/>
              <w:kinsoku/>
              <w:wordWrap/>
              <w:overflowPunct/>
              <w:topLinePunct w:val="0"/>
              <w:autoSpaceDE w:val="0"/>
              <w:autoSpaceDN w:val="0"/>
              <w:bidi w:val="0"/>
              <w:adjustRightInd/>
              <w:snapToGrid/>
              <w:spacing w:before="0"/>
              <w:jc w:val="center"/>
              <w:textAlignment w:val="auto"/>
              <w:rPr>
                <w:sz w:val="28"/>
              </w:rPr>
            </w:pPr>
            <w:r>
              <w:rPr>
                <w:sz w:val="28"/>
              </w:rPr>
              <w:t>事项</w:t>
            </w:r>
          </w:p>
          <w:p>
            <w:pPr>
              <w:pStyle w:val="8"/>
              <w:keepNext w:val="0"/>
              <w:keepLines w:val="0"/>
              <w:pageBreakBefore w:val="0"/>
              <w:widowControl w:val="0"/>
              <w:kinsoku/>
              <w:wordWrap/>
              <w:overflowPunct/>
              <w:topLinePunct w:val="0"/>
              <w:autoSpaceDE w:val="0"/>
              <w:autoSpaceDN w:val="0"/>
              <w:bidi w:val="0"/>
              <w:adjustRightInd/>
              <w:snapToGrid/>
              <w:spacing w:before="0"/>
              <w:jc w:val="center"/>
              <w:textAlignment w:val="auto"/>
              <w:rPr>
                <w:sz w:val="28"/>
              </w:rPr>
            </w:pPr>
            <w:r>
              <w:rPr>
                <w:sz w:val="28"/>
              </w:rPr>
              <w:t>类别</w:t>
            </w:r>
          </w:p>
        </w:tc>
        <w:tc>
          <w:tcPr>
            <w:tcW w:w="2505" w:type="dxa"/>
          </w:tcPr>
          <w:p>
            <w:pPr>
              <w:pStyle w:val="8"/>
              <w:spacing w:before="9"/>
              <w:rPr>
                <w:sz w:val="34"/>
              </w:rPr>
            </w:pPr>
          </w:p>
          <w:p>
            <w:pPr>
              <w:pStyle w:val="8"/>
              <w:spacing w:before="1"/>
              <w:jc w:val="center"/>
              <w:rPr>
                <w:sz w:val="28"/>
              </w:rPr>
            </w:pPr>
            <w:r>
              <w:rPr>
                <w:sz w:val="28"/>
              </w:rPr>
              <w:t>抽查事项</w:t>
            </w:r>
          </w:p>
        </w:tc>
        <w:tc>
          <w:tcPr>
            <w:tcW w:w="1767" w:type="dxa"/>
          </w:tcPr>
          <w:p>
            <w:pPr>
              <w:pStyle w:val="8"/>
              <w:spacing w:before="9"/>
              <w:rPr>
                <w:sz w:val="34"/>
              </w:rPr>
            </w:pPr>
          </w:p>
          <w:p>
            <w:pPr>
              <w:pStyle w:val="8"/>
              <w:spacing w:before="1"/>
              <w:jc w:val="center"/>
              <w:rPr>
                <w:sz w:val="28"/>
              </w:rPr>
            </w:pPr>
            <w:r>
              <w:rPr>
                <w:sz w:val="28"/>
              </w:rPr>
              <w:t>检查对象</w:t>
            </w:r>
          </w:p>
        </w:tc>
        <w:tc>
          <w:tcPr>
            <w:tcW w:w="1335" w:type="dxa"/>
          </w:tcPr>
          <w:p>
            <w:pPr>
              <w:pStyle w:val="8"/>
              <w:keepNext w:val="0"/>
              <w:keepLines w:val="0"/>
              <w:pageBreakBefore w:val="0"/>
              <w:widowControl w:val="0"/>
              <w:kinsoku/>
              <w:wordWrap/>
              <w:overflowPunct/>
              <w:topLinePunct w:val="0"/>
              <w:autoSpaceDE w:val="0"/>
              <w:autoSpaceDN w:val="0"/>
              <w:bidi w:val="0"/>
              <w:adjustRightInd/>
              <w:snapToGrid/>
              <w:spacing w:before="0"/>
              <w:ind w:right="137"/>
              <w:jc w:val="center"/>
              <w:textAlignment w:val="auto"/>
              <w:rPr>
                <w:sz w:val="28"/>
              </w:rPr>
            </w:pPr>
          </w:p>
          <w:p>
            <w:pPr>
              <w:pStyle w:val="8"/>
              <w:keepNext w:val="0"/>
              <w:keepLines w:val="0"/>
              <w:pageBreakBefore w:val="0"/>
              <w:widowControl w:val="0"/>
              <w:kinsoku/>
              <w:wordWrap/>
              <w:overflowPunct/>
              <w:topLinePunct w:val="0"/>
              <w:autoSpaceDE w:val="0"/>
              <w:autoSpaceDN w:val="0"/>
              <w:bidi w:val="0"/>
              <w:adjustRightInd/>
              <w:snapToGrid/>
              <w:spacing w:before="0"/>
              <w:ind w:right="137"/>
              <w:jc w:val="center"/>
              <w:textAlignment w:val="auto"/>
              <w:rPr>
                <w:sz w:val="20"/>
              </w:rPr>
            </w:pPr>
            <w:r>
              <w:rPr>
                <w:sz w:val="28"/>
              </w:rPr>
              <w:t>抽查比例</w:t>
            </w:r>
          </w:p>
          <w:p>
            <w:pPr>
              <w:pStyle w:val="8"/>
              <w:keepNext w:val="0"/>
              <w:keepLines w:val="0"/>
              <w:pageBreakBefore w:val="0"/>
              <w:widowControl w:val="0"/>
              <w:kinsoku/>
              <w:wordWrap/>
              <w:overflowPunct/>
              <w:topLinePunct w:val="0"/>
              <w:autoSpaceDE w:val="0"/>
              <w:autoSpaceDN w:val="0"/>
              <w:bidi w:val="0"/>
              <w:adjustRightInd/>
              <w:snapToGrid/>
              <w:spacing w:before="0"/>
              <w:ind w:left="146" w:right="137"/>
              <w:jc w:val="center"/>
              <w:textAlignment w:val="auto"/>
              <w:rPr>
                <w:sz w:val="28"/>
              </w:rPr>
            </w:pPr>
            <w:r>
              <w:rPr>
                <w:sz w:val="28"/>
              </w:rPr>
              <w:t>（</w:t>
            </w:r>
            <w:r>
              <w:rPr>
                <w:rFonts w:ascii="Times New Roman" w:eastAsia="Times New Roman"/>
                <w:sz w:val="28"/>
              </w:rPr>
              <w:t>%</w:t>
            </w:r>
            <w:r>
              <w:rPr>
                <w:sz w:val="28"/>
              </w:rPr>
              <w:t>）</w:t>
            </w:r>
          </w:p>
        </w:tc>
        <w:tc>
          <w:tcPr>
            <w:tcW w:w="1450" w:type="dxa"/>
          </w:tcPr>
          <w:p>
            <w:pPr>
              <w:pStyle w:val="8"/>
              <w:keepNext w:val="0"/>
              <w:keepLines w:val="0"/>
              <w:pageBreakBefore w:val="0"/>
              <w:widowControl w:val="0"/>
              <w:kinsoku/>
              <w:wordWrap/>
              <w:overflowPunct/>
              <w:topLinePunct w:val="0"/>
              <w:autoSpaceDE w:val="0"/>
              <w:autoSpaceDN w:val="0"/>
              <w:bidi w:val="0"/>
              <w:adjustRightInd/>
              <w:snapToGrid/>
              <w:spacing w:before="0"/>
              <w:jc w:val="center"/>
              <w:textAlignment w:val="auto"/>
              <w:rPr>
                <w:spacing w:val="-2"/>
                <w:sz w:val="28"/>
              </w:rPr>
            </w:pPr>
          </w:p>
          <w:p>
            <w:pPr>
              <w:pStyle w:val="8"/>
              <w:keepNext w:val="0"/>
              <w:keepLines w:val="0"/>
              <w:pageBreakBefore w:val="0"/>
              <w:widowControl w:val="0"/>
              <w:kinsoku/>
              <w:wordWrap/>
              <w:overflowPunct/>
              <w:topLinePunct w:val="0"/>
              <w:autoSpaceDE w:val="0"/>
              <w:autoSpaceDN w:val="0"/>
              <w:bidi w:val="0"/>
              <w:adjustRightInd/>
              <w:snapToGrid/>
              <w:spacing w:before="0"/>
              <w:jc w:val="center"/>
              <w:textAlignment w:val="auto"/>
              <w:rPr>
                <w:spacing w:val="-2"/>
                <w:sz w:val="28"/>
              </w:rPr>
            </w:pPr>
            <w:r>
              <w:rPr>
                <w:spacing w:val="-2"/>
                <w:sz w:val="28"/>
              </w:rPr>
              <w:t>抽取检查</w:t>
            </w:r>
          </w:p>
          <w:p>
            <w:pPr>
              <w:pStyle w:val="8"/>
              <w:keepNext w:val="0"/>
              <w:keepLines w:val="0"/>
              <w:pageBreakBefore w:val="0"/>
              <w:widowControl w:val="0"/>
              <w:kinsoku/>
              <w:wordWrap/>
              <w:overflowPunct/>
              <w:topLinePunct w:val="0"/>
              <w:autoSpaceDE w:val="0"/>
              <w:autoSpaceDN w:val="0"/>
              <w:bidi w:val="0"/>
              <w:adjustRightInd/>
              <w:snapToGrid/>
              <w:spacing w:before="0"/>
              <w:jc w:val="center"/>
              <w:textAlignment w:val="auto"/>
              <w:rPr>
                <w:sz w:val="28"/>
              </w:rPr>
            </w:pPr>
            <w:r>
              <w:rPr>
                <w:spacing w:val="-2"/>
                <w:sz w:val="28"/>
              </w:rPr>
              <w:t>对象数量</w:t>
            </w:r>
          </w:p>
        </w:tc>
        <w:tc>
          <w:tcPr>
            <w:tcW w:w="1463" w:type="dxa"/>
          </w:tcPr>
          <w:p>
            <w:pPr>
              <w:pStyle w:val="8"/>
              <w:keepNext w:val="0"/>
              <w:keepLines w:val="0"/>
              <w:pageBreakBefore w:val="0"/>
              <w:widowControl w:val="0"/>
              <w:kinsoku/>
              <w:wordWrap/>
              <w:overflowPunct/>
              <w:topLinePunct w:val="0"/>
              <w:autoSpaceDE w:val="0"/>
              <w:autoSpaceDN w:val="0"/>
              <w:bidi w:val="0"/>
              <w:adjustRightInd/>
              <w:snapToGrid/>
              <w:spacing w:before="0"/>
              <w:ind w:right="136"/>
              <w:jc w:val="center"/>
              <w:textAlignment w:val="auto"/>
              <w:rPr>
                <w:sz w:val="28"/>
              </w:rPr>
            </w:pPr>
          </w:p>
          <w:p>
            <w:pPr>
              <w:pStyle w:val="8"/>
              <w:keepNext w:val="0"/>
              <w:keepLines w:val="0"/>
              <w:pageBreakBefore w:val="0"/>
              <w:widowControl w:val="0"/>
              <w:kinsoku/>
              <w:wordWrap/>
              <w:overflowPunct/>
              <w:topLinePunct w:val="0"/>
              <w:autoSpaceDE w:val="0"/>
              <w:autoSpaceDN w:val="0"/>
              <w:bidi w:val="0"/>
              <w:adjustRightInd/>
              <w:snapToGrid/>
              <w:spacing w:before="0"/>
              <w:ind w:right="136"/>
              <w:jc w:val="center"/>
              <w:textAlignment w:val="auto"/>
              <w:rPr>
                <w:sz w:val="28"/>
              </w:rPr>
            </w:pPr>
            <w:r>
              <w:rPr>
                <w:sz w:val="28"/>
              </w:rPr>
              <w:t>抽查检查</w:t>
            </w:r>
          </w:p>
          <w:p>
            <w:pPr>
              <w:pStyle w:val="8"/>
              <w:keepNext w:val="0"/>
              <w:keepLines w:val="0"/>
              <w:pageBreakBefore w:val="0"/>
              <w:widowControl w:val="0"/>
              <w:kinsoku/>
              <w:wordWrap/>
              <w:overflowPunct/>
              <w:topLinePunct w:val="0"/>
              <w:autoSpaceDE w:val="0"/>
              <w:autoSpaceDN w:val="0"/>
              <w:bidi w:val="0"/>
              <w:adjustRightInd/>
              <w:snapToGrid/>
              <w:spacing w:before="0"/>
              <w:ind w:right="136"/>
              <w:jc w:val="center"/>
              <w:textAlignment w:val="auto"/>
              <w:rPr>
                <w:sz w:val="28"/>
              </w:rPr>
            </w:pPr>
            <w:r>
              <w:rPr>
                <w:sz w:val="28"/>
              </w:rPr>
              <w:t>日期</w:t>
            </w:r>
          </w:p>
        </w:tc>
        <w:tc>
          <w:tcPr>
            <w:tcW w:w="1418" w:type="dxa"/>
          </w:tcPr>
          <w:p>
            <w:pPr>
              <w:pStyle w:val="8"/>
              <w:keepNext w:val="0"/>
              <w:keepLines w:val="0"/>
              <w:pageBreakBefore w:val="0"/>
              <w:widowControl w:val="0"/>
              <w:kinsoku/>
              <w:wordWrap/>
              <w:overflowPunct/>
              <w:topLinePunct w:val="0"/>
              <w:autoSpaceDE w:val="0"/>
              <w:autoSpaceDN w:val="0"/>
              <w:bidi w:val="0"/>
              <w:adjustRightInd/>
              <w:snapToGrid/>
              <w:spacing w:before="0"/>
              <w:jc w:val="center"/>
              <w:textAlignment w:val="auto"/>
              <w:rPr>
                <w:sz w:val="28"/>
              </w:rPr>
            </w:pPr>
            <w:r>
              <w:rPr>
                <w:rFonts w:hint="eastAsia"/>
                <w:sz w:val="28"/>
                <w:lang w:val="en-US" w:eastAsia="zh-CN"/>
              </w:rPr>
              <w:t>发起部门（</w:t>
            </w:r>
            <w:r>
              <w:rPr>
                <w:sz w:val="28"/>
              </w:rPr>
              <w:t>牵头</w:t>
            </w:r>
            <w:r>
              <w:rPr>
                <w:rFonts w:hint="eastAsia"/>
                <w:sz w:val="28"/>
                <w:lang w:val="en-US" w:eastAsia="zh-CN"/>
              </w:rPr>
              <w:t>部门）</w:t>
            </w:r>
          </w:p>
        </w:tc>
        <w:tc>
          <w:tcPr>
            <w:tcW w:w="1122" w:type="dxa"/>
          </w:tcPr>
          <w:p>
            <w:pPr>
              <w:pStyle w:val="8"/>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sz w:val="28"/>
                <w:lang w:val="en-US" w:eastAsia="zh-CN"/>
              </w:rPr>
            </w:pPr>
          </w:p>
          <w:p>
            <w:pPr>
              <w:pStyle w:val="8"/>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sz w:val="28"/>
                <w:lang w:val="en-US" w:eastAsia="zh-CN"/>
              </w:rPr>
            </w:pPr>
            <w:r>
              <w:rPr>
                <w:rFonts w:hint="eastAsia"/>
                <w:sz w:val="28"/>
                <w:lang w:val="en-US" w:eastAsia="zh-CN"/>
              </w:rPr>
              <w:t>参与</w:t>
            </w:r>
          </w:p>
          <w:p>
            <w:pPr>
              <w:pStyle w:val="8"/>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default" w:eastAsia="宋体"/>
                <w:sz w:val="28"/>
                <w:lang w:val="en-US" w:eastAsia="zh-CN"/>
              </w:rPr>
            </w:pPr>
            <w:r>
              <w:rPr>
                <w:rFonts w:hint="eastAsia"/>
                <w:sz w:val="28"/>
                <w:lang w:val="en-US" w:eastAsia="zh-CN"/>
              </w:rPr>
              <w:t>部门</w:t>
            </w:r>
          </w:p>
        </w:tc>
        <w:tc>
          <w:tcPr>
            <w:tcW w:w="685" w:type="dxa"/>
          </w:tcPr>
          <w:p>
            <w:pPr>
              <w:pStyle w:val="8"/>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sz w:val="28"/>
                <w:lang w:val="en-US" w:eastAsia="zh-CN"/>
              </w:rPr>
            </w:pPr>
          </w:p>
          <w:p>
            <w:pPr>
              <w:pStyle w:val="8"/>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eastAsia="宋体"/>
                <w:sz w:val="28"/>
                <w:lang w:val="en-US" w:eastAsia="zh-CN"/>
              </w:rPr>
            </w:pPr>
            <w:r>
              <w:rPr>
                <w:rFonts w:hint="eastAsia"/>
                <w:sz w:val="28"/>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3" w:hRule="atLeast"/>
        </w:trPr>
        <w:tc>
          <w:tcPr>
            <w:tcW w:w="497" w:type="dxa"/>
          </w:tcPr>
          <w:p>
            <w:pPr>
              <w:pStyle w:val="8"/>
              <w:jc w:val="center"/>
              <w:rPr>
                <w:rFonts w:hint="eastAsia" w:ascii="仿宋_GB2312" w:hAnsi="仿宋_GB2312" w:eastAsia="仿宋_GB2312" w:cs="仿宋_GB2312"/>
                <w:sz w:val="24"/>
                <w:szCs w:val="24"/>
                <w:lang w:val="en-US" w:eastAsia="zh-CN"/>
              </w:rPr>
            </w:pPr>
          </w:p>
          <w:p>
            <w:pPr>
              <w:pStyle w:val="8"/>
              <w:jc w:val="center"/>
              <w:rPr>
                <w:rFonts w:hint="eastAsia" w:ascii="仿宋_GB2312" w:hAnsi="仿宋_GB2312" w:eastAsia="仿宋_GB2312" w:cs="仿宋_GB2312"/>
                <w:sz w:val="24"/>
                <w:szCs w:val="24"/>
                <w:lang w:val="en-US" w:eastAsia="zh-CN"/>
              </w:rPr>
            </w:pPr>
          </w:p>
          <w:p>
            <w:pPr>
              <w:pStyle w:val="8"/>
              <w:jc w:val="center"/>
              <w:rPr>
                <w:rFonts w:hint="eastAsia" w:ascii="仿宋_GB2312" w:hAnsi="仿宋_GB2312" w:eastAsia="仿宋_GB2312" w:cs="仿宋_GB2312"/>
                <w:sz w:val="24"/>
                <w:szCs w:val="24"/>
                <w:lang w:val="en-US" w:eastAsia="zh-CN"/>
              </w:rPr>
            </w:pPr>
          </w:p>
          <w:p>
            <w:pPr>
              <w:pStyle w:val="8"/>
              <w:jc w:val="both"/>
              <w:rPr>
                <w:rFonts w:hint="eastAsia" w:ascii="仿宋_GB2312" w:hAnsi="仿宋_GB2312" w:eastAsia="仿宋_GB2312" w:cs="仿宋_GB2312"/>
                <w:sz w:val="24"/>
                <w:szCs w:val="24"/>
                <w:lang w:val="en-US" w:eastAsia="zh-CN"/>
              </w:rPr>
            </w:pPr>
          </w:p>
          <w:p>
            <w:pPr>
              <w:pStyle w:val="8"/>
              <w:jc w:val="center"/>
              <w:rPr>
                <w:rFonts w:hint="eastAsia" w:ascii="仿宋_GB2312" w:hAnsi="仿宋_GB2312" w:eastAsia="仿宋_GB2312" w:cs="仿宋_GB2312"/>
                <w:sz w:val="24"/>
                <w:szCs w:val="24"/>
                <w:lang w:val="en-US" w:eastAsia="zh-CN"/>
              </w:rPr>
            </w:pPr>
          </w:p>
          <w:p>
            <w:pPr>
              <w:pStyle w:val="8"/>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503" w:type="dxa"/>
            <w:vAlign w:val="center"/>
          </w:tcPr>
          <w:p>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sz w:val="24"/>
                <w:szCs w:val="24"/>
                <w:u w:val="none"/>
                <w:lang w:val="en-US" w:eastAsia="zh-CN"/>
              </w:rPr>
              <w:t>工程咨询单位联合抽查</w:t>
            </w:r>
          </w:p>
        </w:tc>
        <w:tc>
          <w:tcPr>
            <w:tcW w:w="1065" w:type="dxa"/>
            <w:vAlign w:val="center"/>
          </w:tcPr>
          <w:p>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sz w:val="24"/>
                <w:szCs w:val="24"/>
                <w:u w:val="none"/>
                <w:lang w:val="en-US" w:eastAsia="zh-CN"/>
              </w:rPr>
              <w:t>一般检查事项</w:t>
            </w:r>
          </w:p>
        </w:tc>
        <w:tc>
          <w:tcPr>
            <w:tcW w:w="2505" w:type="dxa"/>
            <w:vAlign w:val="center"/>
          </w:tcPr>
          <w:p>
            <w:pPr>
              <w:keepNext w:val="0"/>
              <w:keepLines w:val="0"/>
              <w:widowControl/>
              <w:suppressLineNumbers w:val="0"/>
              <w:ind w:left="0" w:leftChars="0" w:right="0" w:rightChars="0"/>
              <w:jc w:val="left"/>
              <w:textAlignment w:val="center"/>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i w:val="0"/>
                <w:color w:val="auto"/>
                <w:sz w:val="24"/>
                <w:szCs w:val="24"/>
                <w:u w:val="none"/>
                <w:lang w:val="en-US" w:eastAsia="zh-CN"/>
              </w:rPr>
              <w:t>工程咨询备案信息一致性及其他情况抽查</w:t>
            </w:r>
          </w:p>
        </w:tc>
        <w:tc>
          <w:tcPr>
            <w:tcW w:w="1767" w:type="dxa"/>
            <w:vAlign w:val="center"/>
          </w:tcPr>
          <w:p>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sz w:val="24"/>
                <w:szCs w:val="24"/>
                <w:u w:val="none"/>
                <w:lang w:val="en-US" w:eastAsia="zh-CN"/>
              </w:rPr>
              <w:t>工程咨询单位</w:t>
            </w:r>
          </w:p>
        </w:tc>
        <w:tc>
          <w:tcPr>
            <w:tcW w:w="1335" w:type="dxa"/>
            <w:vAlign w:val="center"/>
          </w:tcPr>
          <w:p>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66%</w:t>
            </w:r>
          </w:p>
        </w:tc>
        <w:tc>
          <w:tcPr>
            <w:tcW w:w="1450" w:type="dxa"/>
            <w:vAlign w:val="center"/>
          </w:tcPr>
          <w:p>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463"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2024.3.1--</w:t>
            </w:r>
          </w:p>
          <w:p>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color w:val="auto"/>
                <w:kern w:val="0"/>
                <w:sz w:val="24"/>
                <w:szCs w:val="24"/>
                <w:u w:val="none"/>
                <w:lang w:val="en-US" w:eastAsia="zh-CN" w:bidi="ar"/>
              </w:rPr>
              <w:t>2024.6.30</w:t>
            </w:r>
          </w:p>
        </w:tc>
        <w:tc>
          <w:tcPr>
            <w:tcW w:w="1418" w:type="dxa"/>
            <w:vAlign w:val="center"/>
          </w:tcPr>
          <w:p>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sz w:val="24"/>
                <w:szCs w:val="24"/>
                <w:u w:val="none"/>
                <w:lang w:val="en-US" w:eastAsia="zh-CN"/>
              </w:rPr>
              <w:t>县发改局</w:t>
            </w:r>
          </w:p>
        </w:tc>
        <w:tc>
          <w:tcPr>
            <w:tcW w:w="1122" w:type="dxa"/>
            <w:vAlign w:val="center"/>
          </w:tcPr>
          <w:p>
            <w:pPr>
              <w:keepNext w:val="0"/>
              <w:keepLines w:val="0"/>
              <w:widowControl/>
              <w:suppressLineNumbers w:val="0"/>
              <w:ind w:left="0" w:leftChars="0" w:right="0" w:rightChars="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县市场监管局</w:t>
            </w:r>
          </w:p>
        </w:tc>
        <w:tc>
          <w:tcPr>
            <w:tcW w:w="685" w:type="dxa"/>
            <w:vAlign w:val="center"/>
          </w:tcPr>
          <w:p>
            <w:pPr>
              <w:keepNext w:val="0"/>
              <w:keepLines w:val="0"/>
              <w:widowControl/>
              <w:suppressLineNumbers w:val="0"/>
              <w:ind w:left="0" w:leftChars="0" w:right="0" w:rightChars="0"/>
              <w:jc w:val="center"/>
              <w:textAlignment w:val="center"/>
              <w:rPr>
                <w:rFonts w:ascii="Times New Roman"/>
                <w:sz w:val="22"/>
              </w:rPr>
            </w:pPr>
          </w:p>
        </w:tc>
      </w:tr>
    </w:tbl>
    <w:p>
      <w:pPr>
        <w:pStyle w:val="3"/>
        <w:spacing w:before="3"/>
        <w:rPr>
          <w:rFonts w:ascii="宋体"/>
          <w:sz w:val="10"/>
        </w:rPr>
      </w:pPr>
    </w:p>
    <w:p>
      <w:pPr>
        <w:spacing w:before="28"/>
        <w:ind w:left="200" w:right="0" w:firstLine="0"/>
        <w:jc w:val="left"/>
        <w:rPr>
          <w:rFonts w:hint="eastAsia" w:ascii="宋体" w:eastAsia="宋体"/>
          <w:sz w:val="20"/>
        </w:rPr>
      </w:pPr>
    </w:p>
    <w:p>
      <w:pPr>
        <w:spacing w:before="28"/>
        <w:ind w:left="200" w:right="0" w:firstLine="0"/>
        <w:jc w:val="left"/>
        <w:rPr>
          <w:rFonts w:hint="eastAsia" w:ascii="宋体" w:eastAsia="宋体"/>
          <w:sz w:val="20"/>
        </w:rPr>
      </w:pPr>
      <w:r>
        <w:rPr>
          <w:rFonts w:hint="eastAsia" w:ascii="宋体" w:eastAsia="宋体"/>
          <w:sz w:val="20"/>
        </w:rPr>
        <w:t>注：1、事项类别为计划抽查检查事项的分类：一般检查事项或重点检查事项；抽查事项为计划抽查检查的事项；检查对象为计划抽查检查对象范围，具体参见</w:t>
      </w:r>
    </w:p>
    <w:p>
      <w:pPr>
        <w:spacing w:before="28"/>
        <w:ind w:left="200" w:right="0" w:firstLine="0"/>
        <w:jc w:val="left"/>
        <w:rPr>
          <w:rFonts w:hint="eastAsia" w:ascii="宋体" w:eastAsia="宋体"/>
          <w:sz w:val="20"/>
        </w:rPr>
      </w:pPr>
      <w:r>
        <w:rPr>
          <w:rFonts w:hint="eastAsia" w:ascii="宋体" w:eastAsia="宋体"/>
          <w:sz w:val="20"/>
        </w:rPr>
        <w:t>《陕西省市场监管局随机抽查事项清单》（第三版）；2、抽查比例为计划抽查的检查对象数量占检查对象名录库总数的比例；3、抽取检查对象数量为计划抽取被检查对象数量；4、抽查检查日期为随机摇号抽取被检查对象至完成抽查检查并公示检查结果的日期，抽查检查日期（范例）：例如 2024.1.1-2024.6.30。5、牵头单位为实际组织开展抽查计划单位名称。</w:t>
      </w:r>
    </w:p>
    <w:p>
      <w:pPr>
        <w:spacing w:after="0" w:line="292" w:lineRule="auto"/>
        <w:jc w:val="both"/>
        <w:rPr>
          <w:rFonts w:hint="eastAsia" w:ascii="宋体" w:eastAsia="宋体"/>
          <w:sz w:val="20"/>
        </w:rPr>
        <w:sectPr>
          <w:type w:val="continuous"/>
          <w:pgSz w:w="16840" w:h="11910" w:orient="landscape"/>
          <w:pgMar w:top="1580" w:right="1240" w:bottom="280" w:left="1240" w:header="720" w:footer="720" w:gutter="0"/>
          <w:cols w:space="720" w:num="1"/>
        </w:sectPr>
      </w:pPr>
    </w:p>
    <w:p>
      <w:pPr>
        <w:spacing w:before="56" w:line="292" w:lineRule="auto"/>
        <w:ind w:left="200" w:right="200" w:firstLine="0"/>
        <w:jc w:val="both"/>
        <w:rPr>
          <w:rFonts w:hint="eastAsia" w:ascii="宋体" w:eastAsia="宋体"/>
          <w:sz w:val="20"/>
        </w:rPr>
      </w:pPr>
    </w:p>
    <w:sectPr>
      <w:type w:val="continuous"/>
      <w:pgSz w:w="16840" w:h="11910" w:orient="landscape"/>
      <w:pgMar w:top="1580" w:right="1240" w:bottom="280" w:left="12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MmY0OWRiNTQ5MDdjNjMyMjFkYzY5NDA4MWI5N2JiZWIifQ=="/>
  </w:docVars>
  <w:rsids>
    <w:rsidRoot w:val="00000000"/>
    <w:rsid w:val="02BE2452"/>
    <w:rsid w:val="07971DA1"/>
    <w:rsid w:val="0AE4604C"/>
    <w:rsid w:val="17732ED8"/>
    <w:rsid w:val="21CF5D37"/>
    <w:rsid w:val="39C173D5"/>
    <w:rsid w:val="5B096220"/>
    <w:rsid w:val="666A657B"/>
    <w:rsid w:val="685E0E6C"/>
    <w:rsid w:val="6FD63495"/>
    <w:rsid w:val="7CCB37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autoRedefine/>
    <w:qFormat/>
    <w:uiPriority w:val="1"/>
    <w:pPr>
      <w:ind w:left="593"/>
      <w:outlineLvl w:val="1"/>
    </w:pPr>
    <w:rPr>
      <w:rFonts w:ascii="宋体" w:hAnsi="宋体" w:eastAsia="宋体" w:cs="宋体"/>
      <w:b/>
      <w:bCs/>
      <w:sz w:val="40"/>
      <w:szCs w:val="40"/>
      <w:lang w:val="zh-CN" w:eastAsia="zh-CN" w:bidi="zh-CN"/>
    </w:rPr>
  </w:style>
  <w:style w:type="character" w:default="1" w:styleId="5">
    <w:name w:val="Default Paragraph Font"/>
    <w:autoRedefine/>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仿宋_GB2312" w:hAnsi="仿宋_GB2312" w:eastAsia="仿宋_GB2312" w:cs="仿宋_GB2312"/>
      <w:sz w:val="32"/>
      <w:szCs w:val="32"/>
      <w:lang w:val="zh-CN" w:eastAsia="zh-CN" w:bidi="zh-CN"/>
    </w:rPr>
  </w:style>
  <w:style w:type="table" w:customStyle="1" w:styleId="6">
    <w:name w:val="Table Normal"/>
    <w:autoRedefine/>
    <w:semiHidden/>
    <w:unhideWhenUsed/>
    <w:qFormat/>
    <w:uiPriority w:val="2"/>
    <w:tblPr>
      <w:tblCellMar>
        <w:top w:w="0" w:type="dxa"/>
        <w:left w:w="0" w:type="dxa"/>
        <w:bottom w:w="0" w:type="dxa"/>
        <w:right w:w="0" w:type="dxa"/>
      </w:tblCellMar>
    </w:tblPr>
  </w:style>
  <w:style w:type="paragraph" w:styleId="7">
    <w:name w:val="List Paragraph"/>
    <w:basedOn w:val="1"/>
    <w:autoRedefine/>
    <w:qFormat/>
    <w:uiPriority w:val="1"/>
    <w:rPr>
      <w:lang w:val="zh-CN" w:eastAsia="zh-CN" w:bidi="zh-CN"/>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22</TotalTime>
  <ScaleCrop>false</ScaleCrop>
  <LinksUpToDate>false</LinksUpToDate>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2024-02-21T03:13:00Z</dcterms:created>
  <dc:creator>认真是一种态度</dc:creator>
  <cp:lastModifiedBy>fgj</cp:lastModifiedBy>
  <dcterms:modified xsi:type="dcterms:W3CDTF">2024-02-22T10:44:01Z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2024-02-05T00:00:00Z</vt:filetime>
  </property>
  <property fmtid="{D5CDD505-2E9C-101B-9397-08002B2CF9AE}" pid="3" name="Creator">
    <vt:lpwstr>WPS 文字</vt:lpwstr>
  </property>
  <property fmtid="{D5CDD505-2E9C-101B-9397-08002B2CF9AE}" pid="4" name="LastSaved">
    <vt:filetime>2024-02-21T00:00:00Z</vt:filetime>
  </property>
  <property fmtid="{D5CDD505-2E9C-101B-9397-08002B2CF9AE}" pid="5" name="KSOProductBuildVer">
    <vt:lpwstr>2052-12.1.0.16250</vt:lpwstr>
  </property>
  <property fmtid="{D5CDD505-2E9C-101B-9397-08002B2CF9AE}" pid="6" name="ICV">
    <vt:lpwstr>C9E90C5DE44E4B848E33B336768BEF2B_12</vt:lpwstr>
  </property>
</Properties>
</file>