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4F3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14"/>
          <w:sz w:val="44"/>
          <w:szCs w:val="44"/>
          <w:lang w:val="en-US" w:eastAsia="zh-CN"/>
        </w:rPr>
        <w:t>略阳县林业局涉企</w:t>
      </w:r>
      <w:bookmarkStart w:id="0" w:name="_GoBack"/>
      <w:bookmarkEnd w:id="0"/>
      <w:r>
        <w:rPr>
          <w:rFonts w:hint="eastAsia" w:ascii="方正小标宋简体" w:hAnsi="方正小标宋简体" w:eastAsia="方正小标宋简体" w:cs="方正小标宋简体"/>
          <w:b w:val="0"/>
          <w:bCs w:val="0"/>
          <w:spacing w:val="14"/>
          <w:sz w:val="44"/>
          <w:szCs w:val="44"/>
        </w:rPr>
        <w:t>行政检查事项</w:t>
      </w:r>
    </w:p>
    <w:p w14:paraId="1E8203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3"/>
          <w:sz w:val="30"/>
          <w:szCs w:val="30"/>
        </w:rPr>
      </w:pPr>
    </w:p>
    <w:p w14:paraId="32ACEE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填报单位:</w:t>
      </w:r>
      <w:r>
        <w:rPr>
          <w:rFonts w:hint="eastAsia" w:ascii="仿宋_GB2312" w:hAnsi="仿宋_GB2312" w:eastAsia="仿宋_GB2312" w:cs="仿宋_GB2312"/>
          <w:spacing w:val="3"/>
          <w:sz w:val="30"/>
          <w:szCs w:val="30"/>
          <w:lang w:val="en-US" w:eastAsia="zh-CN"/>
        </w:rPr>
        <w:t xml:space="preserve">略阳县林业局   </w:t>
      </w:r>
      <w:r>
        <w:rPr>
          <w:rFonts w:hint="eastAsia" w:ascii="仿宋_GB2312" w:hAnsi="仿宋_GB2312" w:eastAsia="仿宋_GB2312" w:cs="仿宋_GB2312"/>
          <w:spacing w:val="3"/>
          <w:sz w:val="30"/>
          <w:szCs w:val="30"/>
        </w:rPr>
        <w:t>联系人：</w:t>
      </w:r>
      <w:r>
        <w:rPr>
          <w:rFonts w:hint="eastAsia" w:ascii="仿宋_GB2312" w:hAnsi="仿宋_GB2312" w:eastAsia="仿宋_GB2312" w:cs="仿宋_GB2312"/>
          <w:spacing w:val="3"/>
          <w:sz w:val="30"/>
          <w:szCs w:val="30"/>
          <w:lang w:val="en-US" w:eastAsia="zh-CN"/>
        </w:rPr>
        <w:t>古英</w:t>
      </w:r>
      <w:r>
        <w:rPr>
          <w:rFonts w:hint="eastAsia" w:ascii="仿宋_GB2312" w:hAnsi="仿宋_GB2312" w:eastAsia="仿宋_GB2312" w:cs="仿宋_GB2312"/>
          <w:spacing w:val="21"/>
          <w:sz w:val="30"/>
          <w:szCs w:val="30"/>
        </w:rPr>
        <w:t xml:space="preserve"> </w:t>
      </w:r>
      <w:r>
        <w:rPr>
          <w:rFonts w:hint="eastAsia" w:ascii="仿宋_GB2312" w:hAnsi="仿宋_GB2312" w:eastAsia="仿宋_GB2312" w:cs="仿宋_GB2312"/>
          <w:spacing w:val="3"/>
          <w:sz w:val="30"/>
          <w:szCs w:val="30"/>
        </w:rPr>
        <w:t>联系电话：</w:t>
      </w:r>
      <w:r>
        <w:rPr>
          <w:rFonts w:hint="eastAsia" w:ascii="仿宋_GB2312" w:hAnsi="仿宋_GB2312" w:eastAsia="仿宋_GB2312" w:cs="仿宋_GB2312"/>
          <w:spacing w:val="3"/>
          <w:sz w:val="30"/>
          <w:szCs w:val="30"/>
          <w:lang w:val="en-US" w:eastAsia="zh-CN"/>
        </w:rPr>
        <w:t>13369245113</w:t>
      </w:r>
      <w:r>
        <w:rPr>
          <w:rFonts w:hint="eastAsia" w:ascii="仿宋_GB2312" w:hAnsi="仿宋_GB2312" w:eastAsia="仿宋_GB2312" w:cs="仿宋_GB2312"/>
          <w:spacing w:val="3"/>
          <w:sz w:val="30"/>
          <w:szCs w:val="30"/>
        </w:rPr>
        <w:t xml:space="preserve">  </w:t>
      </w:r>
      <w:r>
        <w:rPr>
          <w:rFonts w:hint="eastAsia" w:ascii="仿宋_GB2312" w:hAnsi="仿宋_GB2312" w:eastAsia="仿宋_GB2312" w:cs="仿宋_GB2312"/>
          <w:spacing w:val="2"/>
          <w:sz w:val="30"/>
          <w:szCs w:val="30"/>
        </w:rPr>
        <w:t>填报时间：</w:t>
      </w:r>
      <w:r>
        <w:rPr>
          <w:rFonts w:hint="eastAsia" w:ascii="仿宋_GB2312" w:hAnsi="仿宋_GB2312" w:eastAsia="仿宋_GB2312" w:cs="仿宋_GB2312"/>
          <w:spacing w:val="16"/>
          <w:sz w:val="30"/>
          <w:szCs w:val="30"/>
          <w:lang w:val="en-US" w:eastAsia="zh-CN"/>
        </w:rPr>
        <w:t>2025</w:t>
      </w:r>
      <w:r>
        <w:rPr>
          <w:rFonts w:hint="eastAsia" w:ascii="仿宋_GB2312" w:hAnsi="仿宋_GB2312" w:eastAsia="仿宋_GB2312" w:cs="仿宋_GB2312"/>
          <w:spacing w:val="2"/>
          <w:sz w:val="30"/>
          <w:szCs w:val="30"/>
        </w:rPr>
        <w:t>年</w:t>
      </w:r>
      <w:r>
        <w:rPr>
          <w:rFonts w:hint="eastAsia" w:ascii="仿宋_GB2312" w:hAnsi="仿宋_GB2312" w:eastAsia="仿宋_GB2312" w:cs="仿宋_GB2312"/>
          <w:spacing w:val="30"/>
          <w:sz w:val="30"/>
          <w:szCs w:val="30"/>
          <w:lang w:val="en-US" w:eastAsia="zh-CN"/>
        </w:rPr>
        <w:t>11</w:t>
      </w:r>
      <w:r>
        <w:rPr>
          <w:rFonts w:hint="eastAsia" w:ascii="仿宋_GB2312" w:hAnsi="仿宋_GB2312" w:eastAsia="仿宋_GB2312" w:cs="仿宋_GB2312"/>
          <w:spacing w:val="2"/>
          <w:sz w:val="30"/>
          <w:szCs w:val="30"/>
        </w:rPr>
        <w:t>月</w:t>
      </w:r>
      <w:r>
        <w:rPr>
          <w:rFonts w:hint="eastAsia" w:ascii="仿宋_GB2312" w:hAnsi="仿宋_GB2312" w:eastAsia="仿宋_GB2312" w:cs="仿宋_GB2312"/>
          <w:spacing w:val="75"/>
          <w:sz w:val="30"/>
          <w:szCs w:val="30"/>
          <w:lang w:val="en-US" w:eastAsia="zh-CN"/>
        </w:rPr>
        <w:t>4</w:t>
      </w:r>
      <w:r>
        <w:rPr>
          <w:rFonts w:hint="eastAsia" w:ascii="仿宋_GB2312" w:hAnsi="仿宋_GB2312" w:eastAsia="仿宋_GB2312" w:cs="仿宋_GB2312"/>
          <w:spacing w:val="2"/>
          <w:sz w:val="30"/>
          <w:szCs w:val="30"/>
        </w:rPr>
        <w:t>日</w:t>
      </w:r>
    </w:p>
    <w:p w14:paraId="76CB7500">
      <w:pPr>
        <w:spacing w:line="14" w:lineRule="exact"/>
      </w:pPr>
    </w:p>
    <w:tbl>
      <w:tblPr>
        <w:tblStyle w:val="7"/>
        <w:tblW w:w="14190" w:type="dxa"/>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3270"/>
        <w:gridCol w:w="4950"/>
        <w:gridCol w:w="3195"/>
        <w:gridCol w:w="330"/>
        <w:gridCol w:w="1499"/>
        <w:gridCol w:w="121"/>
      </w:tblGrid>
      <w:tr w14:paraId="500D5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4095" w:type="dxa"/>
            <w:gridSpan w:val="2"/>
            <w:vAlign w:val="center"/>
          </w:tcPr>
          <w:p w14:paraId="3799D21F">
            <w:pPr>
              <w:pStyle w:val="6"/>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行政检查事项数</w:t>
            </w:r>
          </w:p>
        </w:tc>
        <w:tc>
          <w:tcPr>
            <w:tcW w:w="4950" w:type="dxa"/>
            <w:vAlign w:val="center"/>
          </w:tcPr>
          <w:p w14:paraId="62EA1FA3">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7 </w:t>
            </w:r>
            <w:r>
              <w:rPr>
                <w:rFonts w:hint="eastAsia" w:ascii="仿宋_GB2312" w:hAnsi="仿宋_GB2312" w:eastAsia="仿宋_GB2312" w:cs="仿宋_GB2312"/>
                <w:sz w:val="28"/>
                <w:szCs w:val="28"/>
              </w:rPr>
              <w:t>项</w:t>
            </w:r>
          </w:p>
        </w:tc>
        <w:tc>
          <w:tcPr>
            <w:tcW w:w="3525" w:type="dxa"/>
            <w:gridSpan w:val="2"/>
            <w:vAlign w:val="center"/>
          </w:tcPr>
          <w:p w14:paraId="6A95CB0C">
            <w:pPr>
              <w:pStyle w:val="6"/>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涉企行政检查事项数</w:t>
            </w:r>
          </w:p>
        </w:tc>
        <w:tc>
          <w:tcPr>
            <w:tcW w:w="1620" w:type="dxa"/>
            <w:gridSpan w:val="2"/>
            <w:vAlign w:val="center"/>
          </w:tcPr>
          <w:p w14:paraId="60AF02EC">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6项</w:t>
            </w:r>
          </w:p>
        </w:tc>
      </w:tr>
      <w:tr w14:paraId="6ECA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095" w:type="dxa"/>
            <w:gridSpan w:val="2"/>
            <w:vAlign w:val="center"/>
          </w:tcPr>
          <w:p w14:paraId="399BBAFC">
            <w:pPr>
              <w:pStyle w:val="6"/>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是否制定年度行政检查计划</w:t>
            </w:r>
          </w:p>
        </w:tc>
        <w:tc>
          <w:tcPr>
            <w:tcW w:w="4950" w:type="dxa"/>
            <w:vAlign w:val="center"/>
          </w:tcPr>
          <w:p w14:paraId="7FF0F5B3">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是</w:t>
            </w:r>
          </w:p>
        </w:tc>
        <w:tc>
          <w:tcPr>
            <w:tcW w:w="3525" w:type="dxa"/>
            <w:gridSpan w:val="2"/>
            <w:vAlign w:val="center"/>
          </w:tcPr>
          <w:p w14:paraId="29A809B0">
            <w:pPr>
              <w:pStyle w:val="6"/>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是否明确年度行政检查频次</w:t>
            </w:r>
          </w:p>
        </w:tc>
        <w:tc>
          <w:tcPr>
            <w:tcW w:w="1620" w:type="dxa"/>
            <w:gridSpan w:val="2"/>
            <w:vAlign w:val="center"/>
          </w:tcPr>
          <w:p w14:paraId="639DEF1E">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是</w:t>
            </w:r>
          </w:p>
        </w:tc>
      </w:tr>
      <w:tr w14:paraId="194C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4095" w:type="dxa"/>
            <w:gridSpan w:val="2"/>
            <w:vAlign w:val="center"/>
          </w:tcPr>
          <w:p w14:paraId="55817840">
            <w:pPr>
              <w:pStyle w:val="6"/>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是否制定并开展专项检查计划</w:t>
            </w:r>
          </w:p>
        </w:tc>
        <w:tc>
          <w:tcPr>
            <w:tcW w:w="4950" w:type="dxa"/>
            <w:vAlign w:val="center"/>
          </w:tcPr>
          <w:p w14:paraId="558B4850">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是</w:t>
            </w:r>
          </w:p>
        </w:tc>
        <w:tc>
          <w:tcPr>
            <w:tcW w:w="3525" w:type="dxa"/>
            <w:gridSpan w:val="2"/>
            <w:vAlign w:val="center"/>
          </w:tcPr>
          <w:p w14:paraId="50940D30">
            <w:pPr>
              <w:pStyle w:val="6"/>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是否公示相关内容</w:t>
            </w:r>
          </w:p>
        </w:tc>
        <w:tc>
          <w:tcPr>
            <w:tcW w:w="1620" w:type="dxa"/>
            <w:gridSpan w:val="2"/>
            <w:vAlign w:val="center"/>
          </w:tcPr>
          <w:p w14:paraId="56D6A1AD">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是</w:t>
            </w:r>
          </w:p>
        </w:tc>
      </w:tr>
      <w:tr w14:paraId="683F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4190" w:type="dxa"/>
            <w:gridSpan w:val="7"/>
            <w:vAlign w:val="top"/>
          </w:tcPr>
          <w:p w14:paraId="3974BC5E">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pacing w:val="-3"/>
                <w:sz w:val="32"/>
                <w:szCs w:val="32"/>
                <w:lang w:val="en-US" w:eastAsia="zh-CN"/>
              </w:rPr>
              <w:t>涉企</w:t>
            </w:r>
            <w:r>
              <w:rPr>
                <w:rFonts w:hint="eastAsia" w:ascii="仿宋_GB2312" w:hAnsi="仿宋_GB2312" w:eastAsia="仿宋_GB2312" w:cs="仿宋_GB2312"/>
                <w:b/>
                <w:bCs/>
                <w:spacing w:val="-3"/>
                <w:sz w:val="32"/>
                <w:szCs w:val="32"/>
              </w:rPr>
              <w:t>行政检查事项目录</w:t>
            </w:r>
          </w:p>
        </w:tc>
      </w:tr>
      <w:tr w14:paraId="62447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825" w:type="dxa"/>
            <w:vAlign w:val="center"/>
          </w:tcPr>
          <w:p w14:paraId="097DBD05">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8"/>
                <w:sz w:val="28"/>
                <w:szCs w:val="28"/>
              </w:rPr>
              <w:t>序号</w:t>
            </w:r>
          </w:p>
        </w:tc>
        <w:tc>
          <w:tcPr>
            <w:tcW w:w="3270" w:type="dxa"/>
            <w:vAlign w:val="center"/>
          </w:tcPr>
          <w:p w14:paraId="5D677524">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事项名称</w:t>
            </w:r>
          </w:p>
        </w:tc>
        <w:tc>
          <w:tcPr>
            <w:tcW w:w="4950" w:type="dxa"/>
            <w:vAlign w:val="center"/>
          </w:tcPr>
          <w:p w14:paraId="25249BF2">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事项依据</w:t>
            </w:r>
          </w:p>
        </w:tc>
        <w:tc>
          <w:tcPr>
            <w:tcW w:w="3525" w:type="dxa"/>
            <w:gridSpan w:val="2"/>
            <w:vAlign w:val="center"/>
          </w:tcPr>
          <w:p w14:paraId="64BC73AD">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6"/>
                <w:sz w:val="28"/>
                <w:szCs w:val="28"/>
              </w:rPr>
              <w:t>检查标准</w:t>
            </w:r>
          </w:p>
        </w:tc>
        <w:tc>
          <w:tcPr>
            <w:tcW w:w="1620" w:type="dxa"/>
            <w:gridSpan w:val="2"/>
            <w:vAlign w:val="center"/>
          </w:tcPr>
          <w:p w14:paraId="264C71B3">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pacing w:val="4"/>
                <w:sz w:val="28"/>
                <w:szCs w:val="28"/>
              </w:rPr>
            </w:pPr>
            <w:r>
              <w:rPr>
                <w:rFonts w:hint="eastAsia" w:ascii="仿宋_GB2312" w:hAnsi="仿宋_GB2312" w:eastAsia="仿宋_GB2312" w:cs="仿宋_GB2312"/>
                <w:b/>
                <w:bCs/>
                <w:spacing w:val="4"/>
                <w:sz w:val="28"/>
                <w:szCs w:val="28"/>
              </w:rPr>
              <w:t>年度检</w:t>
            </w:r>
          </w:p>
          <w:p w14:paraId="5A3BCC95">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查频次</w:t>
            </w:r>
          </w:p>
        </w:tc>
      </w:tr>
      <w:tr w14:paraId="1D014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825" w:type="dxa"/>
            <w:vAlign w:val="center"/>
          </w:tcPr>
          <w:p w14:paraId="3E64237D">
            <w:pPr>
              <w:pStyle w:val="6"/>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8"/>
                <w:sz w:val="21"/>
                <w:szCs w:val="21"/>
                <w:lang w:val="en-US" w:eastAsia="zh-CN"/>
              </w:rPr>
            </w:pPr>
            <w:r>
              <w:rPr>
                <w:rFonts w:hint="eastAsia" w:ascii="仿宋_GB2312" w:hAnsi="仿宋_GB2312" w:eastAsia="仿宋_GB2312" w:cs="仿宋_GB2312"/>
                <w:b w:val="0"/>
                <w:bCs w:val="0"/>
                <w:spacing w:val="8"/>
                <w:sz w:val="21"/>
                <w:szCs w:val="21"/>
                <w:lang w:val="en-US" w:eastAsia="zh-CN"/>
              </w:rPr>
              <w:t>1</w:t>
            </w:r>
          </w:p>
        </w:tc>
        <w:tc>
          <w:tcPr>
            <w:tcW w:w="3270" w:type="dxa"/>
            <w:vAlign w:val="center"/>
          </w:tcPr>
          <w:p w14:paraId="5863A890">
            <w:pPr>
              <w:widowControl/>
              <w:jc w:val="center"/>
              <w:rPr>
                <w:rFonts w:hint="eastAsia" w:ascii="仿宋_GB2312" w:hAnsi="仿宋_GB2312" w:eastAsia="仿宋_GB2312" w:cs="仿宋_GB2312"/>
                <w:b w:val="0"/>
                <w:bCs w:val="0"/>
                <w:spacing w:val="3"/>
                <w:sz w:val="21"/>
                <w:szCs w:val="21"/>
              </w:rPr>
            </w:pPr>
            <w:r>
              <w:rPr>
                <w:rFonts w:hint="eastAsia" w:ascii="仿宋_GB2312" w:hAnsi="宋体" w:eastAsia="仿宋_GB2312" w:cs="宋体"/>
                <w:color w:val="000000"/>
                <w:kern w:val="0"/>
                <w:sz w:val="21"/>
                <w:szCs w:val="21"/>
              </w:rPr>
              <w:t>对进入车站、机场、港口、仓库、运输工具和林业植物及其产品的生产经营、存放等场所，依法实施现场检疫、复检和疫情监测调查　</w:t>
            </w:r>
          </w:p>
        </w:tc>
        <w:tc>
          <w:tcPr>
            <w:tcW w:w="4950" w:type="dxa"/>
            <w:vAlign w:val="center"/>
          </w:tcPr>
          <w:p w14:paraId="580AF491">
            <w:pPr>
              <w:widowControl/>
              <w:ind w:firstLine="420" w:firstLineChars="200"/>
              <w:jc w:val="both"/>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《陕西省林业有害生物防治检疫条例》</w:t>
            </w:r>
          </w:p>
          <w:p w14:paraId="4D0C366E">
            <w:pPr>
              <w:widowControl/>
              <w:ind w:firstLine="420" w:firstLineChars="200"/>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第二十一条 林检机构依法行使下列职责：</w:t>
            </w:r>
          </w:p>
          <w:p w14:paraId="7440FB16">
            <w:pPr>
              <w:widowControl/>
              <w:ind w:firstLine="420" w:firstLineChars="200"/>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（一）查验植物检疫证书；</w:t>
            </w:r>
          </w:p>
          <w:p w14:paraId="30178600">
            <w:pPr>
              <w:widowControl/>
              <w:ind w:firstLine="420" w:firstLineChars="200"/>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（二）进入车站、机场、港口、仓库、运输工具和林业植物及其产品的生产经营、存放等场所，依法实施现场检疫、复检和疫情监测调查；</w:t>
            </w:r>
          </w:p>
          <w:p w14:paraId="3EE93F5E">
            <w:pPr>
              <w:widowControl/>
              <w:ind w:firstLine="420" w:firstLineChars="200"/>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（三）责令和监督有关单位或者个人进行消毒处理、除害处理、隔离试种和采取封锁、消灭等措施；</w:t>
            </w:r>
          </w:p>
          <w:p w14:paraId="12969FD5">
            <w:pPr>
              <w:widowControl/>
              <w:ind w:firstLine="420" w:firstLineChars="200"/>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（四）查阅、摘录、复制或者拍录与林业植物检疫工作有关的资料，收集证据；</w:t>
            </w:r>
          </w:p>
          <w:p w14:paraId="490DE7FB">
            <w:pPr>
              <w:widowControl/>
              <w:ind w:firstLine="420" w:firstLineChars="200"/>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（五）法律、法规规定的其他职责。</w:t>
            </w:r>
          </w:p>
          <w:p w14:paraId="00D7E00D">
            <w:pPr>
              <w:widowControl/>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xml:space="preserve">林检机构在行使前款规定职责时，任何单位或者个人不得阻挠。                               </w:t>
            </w:r>
          </w:p>
          <w:p w14:paraId="57B87964">
            <w:pPr>
              <w:widowControl/>
              <w:ind w:firstLine="420" w:firstLineChars="200"/>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xml:space="preserve">第二十二条 林业植物及其产品的加工经营单位或者个人，应当将产品来源、产地检疫或者调运检疫等相关信息资料，向当地县级林检机构备案。                                   </w:t>
            </w:r>
          </w:p>
          <w:p w14:paraId="284FA7BC">
            <w:pPr>
              <w:widowControl/>
              <w:ind w:firstLine="420" w:firstLineChars="200"/>
              <w:jc w:val="left"/>
              <w:rPr>
                <w:rFonts w:hint="eastAsia" w:ascii="仿宋_GB2312" w:hAnsi="仿宋_GB2312" w:eastAsia="仿宋_GB2312" w:cs="仿宋_GB2312"/>
                <w:b w:val="0"/>
                <w:bCs w:val="0"/>
                <w:spacing w:val="4"/>
                <w:sz w:val="21"/>
                <w:szCs w:val="21"/>
              </w:rPr>
            </w:pPr>
            <w:r>
              <w:rPr>
                <w:rFonts w:hint="eastAsia" w:ascii="仿宋_GB2312" w:hAnsi="宋体" w:eastAsia="仿宋_GB2312" w:cs="宋体"/>
                <w:color w:val="000000"/>
                <w:kern w:val="0"/>
                <w:sz w:val="21"/>
                <w:szCs w:val="21"/>
              </w:rPr>
              <w:t>第二十三条 林木种苗、花卉、草种草皮和其他繁殖材料在生产期间，繁育单位或者个人应当向所在地县级林检机构申请产地检疫。经检疫合格的，发给产地检疫合格证。　</w:t>
            </w:r>
          </w:p>
        </w:tc>
        <w:tc>
          <w:tcPr>
            <w:tcW w:w="3525" w:type="dxa"/>
            <w:gridSpan w:val="2"/>
            <w:vAlign w:val="center"/>
          </w:tcPr>
          <w:p w14:paraId="64E111E7">
            <w:pPr>
              <w:widowControl/>
              <w:jc w:val="center"/>
              <w:rPr>
                <w:rFonts w:hint="eastAsia" w:ascii="仿宋_GB2312" w:hAnsi="仿宋_GB2312" w:eastAsia="仿宋_GB2312" w:cs="仿宋_GB2312"/>
                <w:b w:val="0"/>
                <w:bCs w:val="0"/>
                <w:spacing w:val="-6"/>
                <w:sz w:val="21"/>
                <w:szCs w:val="21"/>
              </w:rPr>
            </w:pPr>
            <w:r>
              <w:rPr>
                <w:rFonts w:hint="eastAsia" w:ascii="仿宋_GB2312" w:hAnsi="宋体" w:eastAsia="仿宋_GB2312" w:cs="宋体"/>
                <w:color w:val="000000"/>
                <w:kern w:val="0"/>
                <w:sz w:val="21"/>
                <w:szCs w:val="21"/>
                <w:lang w:val="en-US" w:eastAsia="zh-CN"/>
              </w:rPr>
              <w:t xml:space="preserve">  有无检疫证书、有无携带病虫、调入地是否疫区</w:t>
            </w:r>
            <w:r>
              <w:rPr>
                <w:rFonts w:hint="eastAsia" w:ascii="仿宋_GB2312" w:hAnsi="宋体" w:eastAsia="仿宋_GB2312" w:cs="宋体"/>
                <w:color w:val="000000"/>
                <w:kern w:val="0"/>
                <w:sz w:val="21"/>
                <w:szCs w:val="21"/>
              </w:rPr>
              <w:t>　</w:t>
            </w:r>
          </w:p>
        </w:tc>
        <w:tc>
          <w:tcPr>
            <w:tcW w:w="1620" w:type="dxa"/>
            <w:gridSpan w:val="2"/>
            <w:vAlign w:val="center"/>
          </w:tcPr>
          <w:p w14:paraId="1F28E42D">
            <w:pPr>
              <w:widowControl/>
              <w:jc w:val="center"/>
              <w:rPr>
                <w:rFonts w:hint="eastAsia" w:ascii="仿宋_GB2312" w:hAnsi="仿宋_GB2312" w:eastAsia="仿宋_GB2312" w:cs="仿宋_GB2312"/>
                <w:b w:val="0"/>
                <w:bCs w:val="0"/>
                <w:spacing w:val="4"/>
                <w:sz w:val="21"/>
                <w:szCs w:val="21"/>
              </w:rPr>
            </w:pPr>
            <w:r>
              <w:rPr>
                <w:rFonts w:hint="eastAsia" w:ascii="仿宋_GB2312" w:hAnsi="宋体" w:eastAsia="仿宋_GB2312" w:cs="宋体"/>
                <w:color w:val="000000"/>
                <w:kern w:val="0"/>
                <w:sz w:val="21"/>
                <w:szCs w:val="21"/>
                <w:lang w:val="en-US" w:eastAsia="zh-CN"/>
              </w:rPr>
              <w:t>60次/年</w:t>
            </w:r>
          </w:p>
        </w:tc>
      </w:tr>
      <w:tr w14:paraId="5DFB5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trPr>
        <w:tc>
          <w:tcPr>
            <w:tcW w:w="825" w:type="dxa"/>
            <w:vAlign w:val="center"/>
          </w:tcPr>
          <w:p w14:paraId="63804AC7">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3270" w:type="dxa"/>
            <w:vAlign w:val="center"/>
          </w:tcPr>
          <w:p w14:paraId="232FC4D5">
            <w:pPr>
              <w:widowControl/>
              <w:jc w:val="center"/>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rPr>
              <w:t>对涉林涉木企业等市场主体的生产经营或者使用林业植物及其产品的监管检查　</w:t>
            </w:r>
          </w:p>
        </w:tc>
        <w:tc>
          <w:tcPr>
            <w:tcW w:w="4950" w:type="dxa"/>
            <w:vAlign w:val="center"/>
          </w:tcPr>
          <w:p w14:paraId="485BDBC8">
            <w:pPr>
              <w:widowControl/>
              <w:ind w:firstLine="210" w:firstLineChars="100"/>
              <w:jc w:val="both"/>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《陕西省林业有害生物防治检疫条例》</w:t>
            </w:r>
          </w:p>
          <w:p w14:paraId="2AC9DADE">
            <w:pPr>
              <w:widowControl/>
              <w:jc w:val="left"/>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lang w:val="en-US" w:eastAsia="zh-CN"/>
              </w:rPr>
              <w:t xml:space="preserve">  </w:t>
            </w:r>
            <w:r>
              <w:rPr>
                <w:rFonts w:hint="eastAsia" w:ascii="仿宋_GB2312" w:hAnsi="宋体" w:eastAsia="仿宋_GB2312" w:cs="宋体"/>
                <w:color w:val="000000"/>
                <w:kern w:val="0"/>
                <w:sz w:val="21"/>
                <w:szCs w:val="21"/>
              </w:rPr>
              <w:t>第三十三条 县级林业行政主管部门应当建立林业植物及其产品检疫台账制度，加强对涉林涉木企业等市场主体的生产经营或者使用林业植物及其产品的监管，市场监管行政主管部门应当协同做好检疫工作。</w:t>
            </w:r>
          </w:p>
        </w:tc>
        <w:tc>
          <w:tcPr>
            <w:tcW w:w="3525" w:type="dxa"/>
            <w:gridSpan w:val="2"/>
            <w:vAlign w:val="center"/>
          </w:tcPr>
          <w:p w14:paraId="7E232610">
            <w:pPr>
              <w:widowControl/>
              <w:jc w:val="center"/>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lang w:val="en-US" w:eastAsia="zh-CN"/>
              </w:rPr>
              <w:t xml:space="preserve">  使用植物及其制品是否持有检疫证书、是否建立台账、是否按照相关要求利用、使用</w:t>
            </w:r>
            <w:r>
              <w:rPr>
                <w:rFonts w:hint="eastAsia" w:ascii="仿宋_GB2312" w:hAnsi="宋体" w:eastAsia="仿宋_GB2312" w:cs="宋体"/>
                <w:color w:val="000000"/>
                <w:kern w:val="0"/>
                <w:sz w:val="21"/>
                <w:szCs w:val="21"/>
              </w:rPr>
              <w:t>　</w:t>
            </w:r>
          </w:p>
        </w:tc>
        <w:tc>
          <w:tcPr>
            <w:tcW w:w="1620" w:type="dxa"/>
            <w:gridSpan w:val="2"/>
            <w:vAlign w:val="center"/>
          </w:tcPr>
          <w:p w14:paraId="0885C66D">
            <w:pPr>
              <w:widowControl/>
              <w:jc w:val="center"/>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lang w:val="en-US" w:eastAsia="zh-CN"/>
              </w:rPr>
              <w:t>1次/年</w:t>
            </w:r>
          </w:p>
          <w:p w14:paraId="4DB8ED54">
            <w:pPr>
              <w:widowControl/>
              <w:jc w:val="center"/>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rPr>
              <w:t>　</w:t>
            </w:r>
          </w:p>
        </w:tc>
      </w:tr>
      <w:tr w14:paraId="5740E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25" w:type="dxa"/>
            <w:vAlign w:val="center"/>
          </w:tcPr>
          <w:p w14:paraId="73966452">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3270" w:type="dxa"/>
            <w:vAlign w:val="center"/>
          </w:tcPr>
          <w:p w14:paraId="218DDC6A">
            <w:pPr>
              <w:widowControl/>
              <w:jc w:val="center"/>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rPr>
              <w:t xml:space="preserve">林业有害生物防治、保护林内有益生物的监督检查 </w:t>
            </w:r>
          </w:p>
        </w:tc>
        <w:tc>
          <w:tcPr>
            <w:tcW w:w="4950" w:type="dxa"/>
            <w:vAlign w:val="center"/>
          </w:tcPr>
          <w:p w14:paraId="2546943B">
            <w:pPr>
              <w:widowControl/>
              <w:jc w:val="both"/>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《森林病虫害防治条例》</w:t>
            </w:r>
          </w:p>
          <w:p w14:paraId="702EC43A">
            <w:pPr>
              <w:widowControl/>
              <w:jc w:val="left"/>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lang w:val="en-US" w:eastAsia="zh-CN"/>
              </w:rPr>
              <w:t xml:space="preserve">  </w:t>
            </w:r>
            <w:r>
              <w:rPr>
                <w:rFonts w:hint="eastAsia" w:ascii="仿宋_GB2312" w:hAnsi="宋体" w:eastAsia="仿宋_GB2312" w:cs="宋体"/>
                <w:color w:val="000000"/>
                <w:kern w:val="0"/>
                <w:sz w:val="21"/>
                <w:szCs w:val="21"/>
              </w:rPr>
              <w:t>第九条 各级人民政府林业主管部门应当组织和监督森林经营单位和个人，采取有效措施，保护好林内各种有益生物，并有计划地进行繁殖和培养，发挥生物防治作用。第十六条：县级以上地方人民政府或者其林业主管部门应当制定除治森林病虫害的实施计划，并组织好交界地区的联防联治，对除治情况定期检查。</w:t>
            </w:r>
          </w:p>
        </w:tc>
        <w:tc>
          <w:tcPr>
            <w:tcW w:w="3525" w:type="dxa"/>
            <w:gridSpan w:val="2"/>
            <w:vAlign w:val="center"/>
          </w:tcPr>
          <w:p w14:paraId="05C4A539">
            <w:pPr>
              <w:widowControl/>
              <w:jc w:val="center"/>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lang w:val="en-US" w:eastAsia="zh-CN"/>
              </w:rPr>
              <w:t xml:space="preserve">  区域内是否发生病虫害、是否按照要求进行防治</w:t>
            </w:r>
          </w:p>
        </w:tc>
        <w:tc>
          <w:tcPr>
            <w:tcW w:w="1620" w:type="dxa"/>
            <w:gridSpan w:val="2"/>
            <w:vAlign w:val="center"/>
          </w:tcPr>
          <w:p w14:paraId="0B379870">
            <w:pPr>
              <w:widowControl/>
              <w:jc w:val="center"/>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lang w:val="en-US" w:eastAsia="zh-CN"/>
              </w:rPr>
              <w:t>1次/年</w:t>
            </w:r>
          </w:p>
        </w:tc>
      </w:tr>
      <w:tr w14:paraId="3D7D2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1" w:type="dxa"/>
          <w:trHeight w:val="6863" w:hRule="atLeast"/>
        </w:trPr>
        <w:tc>
          <w:tcPr>
            <w:tcW w:w="825" w:type="dxa"/>
            <w:vAlign w:val="center"/>
          </w:tcPr>
          <w:p w14:paraId="176AAA5A">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270" w:type="dxa"/>
            <w:vAlign w:val="center"/>
          </w:tcPr>
          <w:p w14:paraId="22F0DE41">
            <w:pPr>
              <w:widowControl/>
              <w:jc w:val="left"/>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lang w:val="en-US" w:eastAsia="zh-CN"/>
              </w:rPr>
              <w:t>对种子质量监督检查</w:t>
            </w:r>
          </w:p>
        </w:tc>
        <w:tc>
          <w:tcPr>
            <w:tcW w:w="4950" w:type="dxa"/>
            <w:vAlign w:val="center"/>
          </w:tcPr>
          <w:p w14:paraId="3E416630">
            <w:pPr>
              <w:widowControl/>
              <w:jc w:val="left"/>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lang w:val="en-US" w:eastAsia="zh-CN"/>
              </w:rPr>
              <w:t xml:space="preserve"> </w:t>
            </w:r>
            <w:r>
              <w:rPr>
                <w:rFonts w:hint="eastAsia" w:ascii="仿宋_GB2312" w:hAnsi="宋体" w:eastAsia="仿宋_GB2312" w:cs="宋体"/>
                <w:b/>
                <w:bCs/>
                <w:color w:val="000000"/>
                <w:kern w:val="0"/>
                <w:sz w:val="30"/>
                <w:szCs w:val="30"/>
                <w:lang w:val="en-US" w:eastAsia="zh-CN"/>
              </w:rPr>
              <w:t xml:space="preserve"> </w:t>
            </w:r>
            <w:r>
              <w:rPr>
                <w:rFonts w:hint="eastAsia" w:ascii="仿宋_GB2312" w:hAnsi="宋体" w:eastAsia="仿宋_GB2312" w:cs="宋体"/>
                <w:color w:val="000000"/>
                <w:kern w:val="0"/>
                <w:sz w:val="21"/>
                <w:szCs w:val="21"/>
                <w:lang w:val="en-US" w:eastAsia="zh-CN"/>
              </w:rPr>
              <w:t xml:space="preserve">《中华人民共和国种子法》 </w:t>
            </w:r>
            <w:r>
              <w:rPr>
                <w:rFonts w:hint="eastAsia" w:ascii="仿宋_GB2312" w:hAnsi="宋体" w:eastAsia="仿宋_GB2312" w:cs="宋体"/>
                <w:color w:val="000000"/>
                <w:kern w:val="0"/>
                <w:sz w:val="21"/>
                <w:szCs w:val="21"/>
                <w:lang w:val="en-US" w:eastAsia="zh-CN"/>
              </w:rPr>
              <w:br w:type="textWrapping"/>
            </w:r>
            <w:r>
              <w:rPr>
                <w:rFonts w:hint="eastAsia" w:ascii="仿宋_GB2312" w:hAnsi="宋体" w:eastAsia="仿宋_GB2312" w:cs="宋体"/>
                <w:color w:val="000000"/>
                <w:kern w:val="0"/>
                <w:sz w:val="21"/>
                <w:szCs w:val="21"/>
                <w:lang w:val="en-US" w:eastAsia="zh-CN"/>
              </w:rPr>
              <w:t xml:space="preserve">   第四十六条 农业农村、林业草原主管部门应当加强对种子质量的监督检查。种子质量管理办法、行业标准和检验方法，由国务院农业农村、林业草原主管部门制定。                                                              </w:t>
            </w:r>
            <w:r>
              <w:rPr>
                <w:rFonts w:hint="eastAsia" w:ascii="仿宋_GB2312" w:hAnsi="宋体" w:eastAsia="仿宋_GB2312" w:cs="宋体"/>
                <w:color w:val="000000"/>
                <w:kern w:val="0"/>
                <w:sz w:val="21"/>
                <w:szCs w:val="21"/>
                <w:lang w:val="en-US" w:eastAsia="zh-CN"/>
              </w:rPr>
              <w:br w:type="textWrapping"/>
            </w:r>
            <w:r>
              <w:rPr>
                <w:rFonts w:hint="eastAsia" w:ascii="仿宋_GB2312" w:hAnsi="宋体" w:eastAsia="仿宋_GB2312" w:cs="宋体"/>
                <w:color w:val="000000"/>
                <w:kern w:val="0"/>
                <w:sz w:val="21"/>
                <w:szCs w:val="21"/>
                <w:lang w:val="en-US" w:eastAsia="zh-CN"/>
              </w:rPr>
              <w:t xml:space="preserve">   第四十七条 农业农村、林业草原主管部门可以委托种子质量检验机构对种子质量进行检验。 </w:t>
            </w:r>
            <w:r>
              <w:rPr>
                <w:rFonts w:hint="eastAsia" w:ascii="仿宋_GB2312" w:hAnsi="宋体" w:eastAsia="仿宋_GB2312" w:cs="宋体"/>
                <w:color w:val="000000"/>
                <w:kern w:val="0"/>
                <w:sz w:val="21"/>
                <w:szCs w:val="21"/>
                <w:lang w:val="en-US" w:eastAsia="zh-CN"/>
              </w:rPr>
              <w:br w:type="textWrapping"/>
            </w:r>
            <w:r>
              <w:rPr>
                <w:rFonts w:hint="eastAsia" w:ascii="仿宋_GB2312" w:hAnsi="宋体" w:eastAsia="仿宋_GB2312" w:cs="宋体"/>
                <w:color w:val="000000"/>
                <w:kern w:val="0"/>
                <w:sz w:val="21"/>
                <w:szCs w:val="21"/>
                <w:lang w:val="en-US" w:eastAsia="zh-CN"/>
              </w:rPr>
              <w:t xml:space="preserve">   第四十九条 农业农村、林业草原主管部门是种子行政执法机关。种子执法人员依法执行公务时应当出示行政执法证件。农业农村、林业草原主管部门依法履行种子监督检查职责时，有权采取下列措施：  </w:t>
            </w:r>
            <w:r>
              <w:rPr>
                <w:rFonts w:hint="eastAsia" w:ascii="仿宋_GB2312" w:hAnsi="宋体" w:eastAsia="仿宋_GB2312" w:cs="宋体"/>
                <w:color w:val="000000"/>
                <w:kern w:val="0"/>
                <w:sz w:val="21"/>
                <w:szCs w:val="21"/>
                <w:lang w:val="en-US" w:eastAsia="zh-CN"/>
              </w:rPr>
              <w:br w:type="textWrapping"/>
            </w:r>
            <w:r>
              <w:rPr>
                <w:rFonts w:hint="eastAsia" w:ascii="仿宋_GB2312" w:hAnsi="宋体" w:eastAsia="仿宋_GB2312" w:cs="宋体"/>
                <w:color w:val="000000"/>
                <w:kern w:val="0"/>
                <w:sz w:val="21"/>
                <w:szCs w:val="21"/>
                <w:lang w:val="en-US" w:eastAsia="zh-CN"/>
              </w:rPr>
              <w:t xml:space="preserve">   (一)进入生产经营场所进行现场检查；                                                               </w:t>
            </w:r>
            <w:r>
              <w:rPr>
                <w:rFonts w:hint="eastAsia" w:ascii="仿宋_GB2312" w:hAnsi="宋体" w:eastAsia="仿宋_GB2312" w:cs="宋体"/>
                <w:color w:val="000000"/>
                <w:kern w:val="0"/>
                <w:sz w:val="21"/>
                <w:szCs w:val="21"/>
                <w:lang w:val="en-US" w:eastAsia="zh-CN"/>
              </w:rPr>
              <w:br w:type="textWrapping"/>
            </w:r>
            <w:r>
              <w:rPr>
                <w:rFonts w:hint="eastAsia" w:ascii="仿宋_GB2312" w:hAnsi="宋体" w:eastAsia="仿宋_GB2312" w:cs="宋体"/>
                <w:color w:val="000000"/>
                <w:kern w:val="0"/>
                <w:sz w:val="21"/>
                <w:szCs w:val="21"/>
                <w:lang w:val="en-US" w:eastAsia="zh-CN"/>
              </w:rPr>
              <w:t xml:space="preserve">  （二）对种子进行取样测试、试验或者检验；                                                      </w:t>
            </w:r>
            <w:r>
              <w:rPr>
                <w:rFonts w:hint="eastAsia" w:ascii="仿宋_GB2312" w:hAnsi="宋体" w:eastAsia="仿宋_GB2312" w:cs="宋体"/>
                <w:color w:val="000000"/>
                <w:kern w:val="0"/>
                <w:sz w:val="21"/>
                <w:szCs w:val="21"/>
                <w:lang w:val="en-US" w:eastAsia="zh-CN"/>
              </w:rPr>
              <w:br w:type="textWrapping"/>
            </w:r>
            <w:r>
              <w:rPr>
                <w:rFonts w:hint="eastAsia" w:ascii="仿宋_GB2312" w:hAnsi="宋体" w:eastAsia="仿宋_GB2312" w:cs="宋体"/>
                <w:color w:val="000000"/>
                <w:kern w:val="0"/>
                <w:sz w:val="21"/>
                <w:szCs w:val="21"/>
                <w:lang w:val="en-US" w:eastAsia="zh-CN"/>
              </w:rPr>
              <w:t xml:space="preserve">  （三）查阅、复制有关合同、票据、账簿、生产经营档案及其他有关资料；                           </w:t>
            </w:r>
            <w:r>
              <w:rPr>
                <w:rFonts w:hint="eastAsia" w:ascii="仿宋_GB2312" w:hAnsi="宋体" w:eastAsia="仿宋_GB2312" w:cs="宋体"/>
                <w:color w:val="000000"/>
                <w:kern w:val="0"/>
                <w:sz w:val="21"/>
                <w:szCs w:val="21"/>
                <w:lang w:val="en-US" w:eastAsia="zh-CN"/>
              </w:rPr>
              <w:br w:type="textWrapping"/>
            </w:r>
            <w:r>
              <w:rPr>
                <w:rFonts w:hint="eastAsia" w:ascii="仿宋_GB2312" w:hAnsi="宋体" w:eastAsia="仿宋_GB2312" w:cs="宋体"/>
                <w:color w:val="000000"/>
                <w:kern w:val="0"/>
                <w:sz w:val="21"/>
                <w:szCs w:val="21"/>
                <w:lang w:val="en-US" w:eastAsia="zh-CN"/>
              </w:rPr>
              <w:t xml:space="preserve">  （四）查封、扣押有证据证明违法生产经营的种子，以及用于违法生产经营的工具、设备及运输工具等；                                                                                            </w:t>
            </w:r>
            <w:r>
              <w:rPr>
                <w:rFonts w:hint="eastAsia" w:ascii="仿宋_GB2312" w:hAnsi="宋体" w:eastAsia="仿宋_GB2312" w:cs="宋体"/>
                <w:color w:val="000000"/>
                <w:kern w:val="0"/>
                <w:sz w:val="21"/>
                <w:szCs w:val="21"/>
                <w:lang w:val="en-US" w:eastAsia="zh-CN"/>
              </w:rPr>
              <w:br w:type="textWrapping"/>
            </w:r>
            <w:r>
              <w:rPr>
                <w:rFonts w:hint="eastAsia" w:ascii="仿宋_GB2312" w:hAnsi="宋体" w:eastAsia="仿宋_GB2312" w:cs="宋体"/>
                <w:color w:val="000000"/>
                <w:kern w:val="0"/>
                <w:sz w:val="21"/>
                <w:szCs w:val="21"/>
                <w:lang w:val="en-US" w:eastAsia="zh-CN"/>
              </w:rPr>
              <w:t xml:space="preserve">   （五）查封违法从事种子生产经营活动的场所。                                                  </w:t>
            </w:r>
            <w:r>
              <w:rPr>
                <w:rFonts w:hint="eastAsia" w:ascii="仿宋_GB2312" w:hAnsi="宋体" w:eastAsia="仿宋_GB2312" w:cs="宋体"/>
                <w:color w:val="000000"/>
                <w:kern w:val="0"/>
                <w:sz w:val="21"/>
                <w:szCs w:val="21"/>
                <w:lang w:val="en-US" w:eastAsia="zh-CN"/>
              </w:rPr>
              <w:br w:type="textWrapping"/>
            </w:r>
            <w:r>
              <w:rPr>
                <w:rFonts w:hint="eastAsia" w:ascii="仿宋_GB2312" w:hAnsi="宋体" w:eastAsia="仿宋_GB2312" w:cs="宋体"/>
                <w:color w:val="000000"/>
                <w:kern w:val="0"/>
                <w:sz w:val="21"/>
                <w:szCs w:val="21"/>
                <w:lang w:val="en-US" w:eastAsia="zh-CN"/>
              </w:rPr>
              <w:t xml:space="preserve">  《林木种子质量管理办法》(2006年国家林业局令第21号发布)                                           </w:t>
            </w:r>
            <w:r>
              <w:rPr>
                <w:rFonts w:hint="eastAsia" w:ascii="仿宋_GB2312" w:hAnsi="宋体" w:eastAsia="仿宋_GB2312" w:cs="宋体"/>
                <w:color w:val="000000"/>
                <w:kern w:val="0"/>
                <w:sz w:val="21"/>
                <w:szCs w:val="21"/>
                <w:lang w:val="en-US" w:eastAsia="zh-CN"/>
              </w:rPr>
              <w:br w:type="textWrapping"/>
            </w:r>
            <w:r>
              <w:rPr>
                <w:rFonts w:hint="eastAsia" w:ascii="仿宋_GB2312" w:hAnsi="宋体" w:eastAsia="仿宋_GB2312" w:cs="宋体"/>
                <w:color w:val="000000"/>
                <w:kern w:val="0"/>
                <w:sz w:val="21"/>
                <w:szCs w:val="21"/>
                <w:lang w:val="en-US" w:eastAsia="zh-CN"/>
              </w:rPr>
              <w:t xml:space="preserve">   第十八条 县级以上人民政府林业草原主管部门应当加强林木种子质量监督和管理，根据林木种子的生产、经营情况，制定并组织实施林木种子质量抽查方案。</w:t>
            </w:r>
          </w:p>
        </w:tc>
        <w:tc>
          <w:tcPr>
            <w:tcW w:w="3195" w:type="dxa"/>
            <w:vAlign w:val="center"/>
          </w:tcPr>
          <w:p w14:paraId="5D6AF947">
            <w:pPr>
              <w:widowControl/>
              <w:ind w:firstLine="420" w:firstLineChars="200"/>
              <w:jc w:val="left"/>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1.主要造林树种苗木质量分级（GB6000-1999）；（DB61/T378-2006）；</w:t>
            </w:r>
          </w:p>
          <w:p w14:paraId="7718001E">
            <w:pPr>
              <w:widowControl/>
              <w:ind w:firstLine="420" w:firstLineChars="200"/>
              <w:jc w:val="left"/>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2.造林设计和苗木供应合同</w:t>
            </w:r>
          </w:p>
          <w:p w14:paraId="651590AA">
            <w:pPr>
              <w:widowControl/>
              <w:jc w:val="center"/>
              <w:rPr>
                <w:rFonts w:hint="eastAsia" w:ascii="仿宋_GB2312" w:hAnsi="仿宋_GB2312" w:eastAsia="仿宋_GB2312" w:cs="仿宋_GB2312"/>
                <w:sz w:val="28"/>
                <w:szCs w:val="28"/>
              </w:rPr>
            </w:pPr>
          </w:p>
        </w:tc>
        <w:tc>
          <w:tcPr>
            <w:tcW w:w="1829" w:type="dxa"/>
            <w:gridSpan w:val="2"/>
            <w:vAlign w:val="center"/>
          </w:tcPr>
          <w:p w14:paraId="585E048F">
            <w:pPr>
              <w:widowControl/>
              <w:jc w:val="center"/>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lang w:val="en-US" w:eastAsia="zh-CN"/>
              </w:rPr>
              <w:t>2次/年</w:t>
            </w:r>
          </w:p>
          <w:p w14:paraId="08D30A69">
            <w:pPr>
              <w:widowControl/>
              <w:ind w:firstLine="630" w:firstLineChars="300"/>
              <w:jc w:val="left"/>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rPr>
              <w:t>　</w:t>
            </w:r>
          </w:p>
        </w:tc>
      </w:tr>
      <w:tr w14:paraId="1F6CF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1" w:type="dxa"/>
          <w:trHeight w:val="5567" w:hRule="atLeast"/>
        </w:trPr>
        <w:tc>
          <w:tcPr>
            <w:tcW w:w="825" w:type="dxa"/>
            <w:vAlign w:val="center"/>
          </w:tcPr>
          <w:p w14:paraId="3D22332A">
            <w:pPr>
              <w:widowControl/>
              <w:jc w:val="center"/>
              <w:rPr>
                <w:rFonts w:hint="eastAsia" w:ascii="仿宋_GB2312" w:hAnsi="仿宋_GB2312" w:eastAsia="仿宋_GB2312" w:cs="仿宋_GB2312"/>
                <w:sz w:val="28"/>
                <w:szCs w:val="28"/>
                <w:lang w:val="en-US" w:eastAsia="zh-CN"/>
              </w:rPr>
            </w:pPr>
            <w:r>
              <w:rPr>
                <w:rFonts w:hint="eastAsia" w:ascii="仿宋_GB2312" w:hAnsi="宋体" w:eastAsia="仿宋_GB2312" w:cs="宋体"/>
                <w:color w:val="000000"/>
                <w:kern w:val="0"/>
                <w:sz w:val="21"/>
                <w:szCs w:val="21"/>
                <w:lang w:val="en-US" w:eastAsia="zh-CN"/>
              </w:rPr>
              <w:t>5</w:t>
            </w:r>
          </w:p>
        </w:tc>
        <w:tc>
          <w:tcPr>
            <w:tcW w:w="3270" w:type="dxa"/>
            <w:vAlign w:val="center"/>
          </w:tcPr>
          <w:p w14:paraId="5512A8F2">
            <w:pPr>
              <w:widowControl/>
              <w:jc w:val="left"/>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 xml:space="preserve">运输、携带、寄递国家重点保护野生动物及其制品  </w:t>
            </w:r>
          </w:p>
        </w:tc>
        <w:tc>
          <w:tcPr>
            <w:tcW w:w="4950" w:type="dxa"/>
            <w:vAlign w:val="center"/>
          </w:tcPr>
          <w:p w14:paraId="6C3FCD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 xml:space="preserve">《中华人民共和国野生动物保护法》 </w:t>
            </w:r>
          </w:p>
          <w:p w14:paraId="570524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第三十四条 运输、携带、寄递国家重点保护野生动物及其制品，或者依照本法第二十九条第二款规定调出国家重点保护野生动物名录的野生动物及其制品出县境的，应当持有或者附有本法第二十一条、第二十五条、第二十八条或者第二十九条规定的许可证、批准文件的副本或者专用标识。</w:t>
            </w:r>
            <w:r>
              <w:rPr>
                <w:rFonts w:hint="eastAsia" w:ascii="仿宋_GB2312" w:hAnsi="宋体" w:eastAsia="仿宋_GB2312" w:cs="宋体"/>
                <w:color w:val="000000"/>
                <w:kern w:val="0"/>
                <w:sz w:val="21"/>
                <w:szCs w:val="21"/>
                <w:lang w:val="en-US" w:eastAsia="zh-CN"/>
              </w:rPr>
              <w:br w:type="textWrapping"/>
            </w:r>
            <w:r>
              <w:rPr>
                <w:rFonts w:hint="eastAsia" w:ascii="仿宋_GB2312" w:hAnsi="宋体" w:eastAsia="仿宋_GB2312" w:cs="宋体"/>
                <w:color w:val="000000"/>
                <w:kern w:val="0"/>
                <w:sz w:val="21"/>
                <w:szCs w:val="21"/>
                <w:lang w:val="en-US" w:eastAsia="zh-CN"/>
              </w:rPr>
              <w:t xml:space="preserve">   运输、携带、寄递有重要生态、科学、社会价值的陆生野生动物和地方重点保护野生动物，或者依照本法第二十九条第二款规定调出有重要生态、科学、社会价值的陆生野生动物名录的野生动物出县境的，应当持有狩猎、人工繁育、进出口等合法来源证明或者专用标识。</w:t>
            </w:r>
            <w:r>
              <w:rPr>
                <w:rFonts w:hint="eastAsia" w:ascii="仿宋_GB2312" w:hAnsi="宋体" w:eastAsia="仿宋_GB2312" w:cs="宋体"/>
                <w:color w:val="000000"/>
                <w:kern w:val="0"/>
                <w:sz w:val="21"/>
                <w:szCs w:val="21"/>
                <w:lang w:val="en-US" w:eastAsia="zh-CN"/>
              </w:rPr>
              <w:br w:type="textWrapping"/>
            </w:r>
            <w:r>
              <w:rPr>
                <w:rFonts w:hint="eastAsia" w:ascii="仿宋_GB2312" w:hAnsi="宋体" w:eastAsia="仿宋_GB2312" w:cs="宋体"/>
                <w:color w:val="000000"/>
                <w:kern w:val="0"/>
                <w:sz w:val="21"/>
                <w:szCs w:val="21"/>
                <w:lang w:val="en-US" w:eastAsia="zh-CN"/>
              </w:rPr>
              <w:t xml:space="preserve">   运输、携带、寄递前两款规定的野生动物出县境的，还应当依照《中华人民共和国动物防疫法》的规定附有检疫证明。</w:t>
            </w:r>
            <w:r>
              <w:rPr>
                <w:rFonts w:hint="eastAsia" w:ascii="仿宋_GB2312" w:hAnsi="宋体" w:eastAsia="仿宋_GB2312" w:cs="宋体"/>
                <w:color w:val="000000"/>
                <w:kern w:val="0"/>
                <w:sz w:val="21"/>
                <w:szCs w:val="21"/>
                <w:lang w:val="en-US" w:eastAsia="zh-CN"/>
              </w:rPr>
              <w:br w:type="textWrapping"/>
            </w:r>
            <w:r>
              <w:rPr>
                <w:rFonts w:hint="eastAsia" w:ascii="仿宋_GB2312" w:hAnsi="宋体" w:eastAsia="仿宋_GB2312" w:cs="宋体"/>
                <w:color w:val="000000"/>
                <w:kern w:val="0"/>
                <w:sz w:val="21"/>
                <w:szCs w:val="21"/>
                <w:lang w:val="en-US" w:eastAsia="zh-CN"/>
              </w:rPr>
              <w:t xml:space="preserve">   铁路、道路、水运、民航、邮政、快递等企业对托运、携带、交寄野生动物及其制品的，应当查验其相关证件、文件副本或者专用标识，对不符合规定的，不得承运、寄递。</w:t>
            </w:r>
          </w:p>
        </w:tc>
        <w:tc>
          <w:tcPr>
            <w:tcW w:w="3525" w:type="dxa"/>
            <w:gridSpan w:val="2"/>
            <w:vAlign w:val="center"/>
          </w:tcPr>
          <w:p w14:paraId="72D6F7B4">
            <w:pPr>
              <w:widowControl/>
              <w:jc w:val="left"/>
              <w:rPr>
                <w:rFonts w:hint="eastAsia" w:ascii="仿宋_GB2312" w:hAnsi="仿宋_GB2312" w:eastAsia="仿宋_GB2312" w:cs="仿宋_GB2312"/>
                <w:sz w:val="28"/>
                <w:szCs w:val="28"/>
              </w:rPr>
            </w:pPr>
            <w:r>
              <w:rPr>
                <w:rFonts w:hint="eastAsia" w:ascii="仿宋_GB2312" w:hAnsi="宋体" w:eastAsia="仿宋_GB2312" w:cs="宋体"/>
                <w:color w:val="000000"/>
                <w:kern w:val="0"/>
                <w:sz w:val="21"/>
                <w:szCs w:val="21"/>
                <w:lang w:val="en-US" w:eastAsia="zh-CN"/>
              </w:rPr>
              <w:t>定期开展对林区、森林公园、湿地、自然保护区等野生动植物集中分布区域的巡护监测，地毯式清理兽夹、猎套、粘鸟网等非法猎捕工具，对进入林区人员、车辆依法依规进行检查登记，成立联合执法检查组，围绕集贸市场、饭店酒店、农家乐、花鸟市场、野生动物人工繁育场等重点场所，突击检查是否存在非法捕猎、滥采、乱挖、出售、购买、利用、食用、运输野生动植物及其制品等违法犯罪行为。</w:t>
            </w:r>
          </w:p>
        </w:tc>
        <w:tc>
          <w:tcPr>
            <w:tcW w:w="1499" w:type="dxa"/>
            <w:vAlign w:val="center"/>
          </w:tcPr>
          <w:p w14:paraId="163843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2次/年</w:t>
            </w:r>
          </w:p>
        </w:tc>
      </w:tr>
      <w:tr w14:paraId="3B13F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1" w:type="dxa"/>
          <w:trHeight w:val="583" w:hRule="atLeast"/>
        </w:trPr>
        <w:tc>
          <w:tcPr>
            <w:tcW w:w="825" w:type="dxa"/>
            <w:vAlign w:val="center"/>
          </w:tcPr>
          <w:p w14:paraId="1FD5649E">
            <w:pPr>
              <w:widowControl/>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6</w:t>
            </w:r>
          </w:p>
        </w:tc>
        <w:tc>
          <w:tcPr>
            <w:tcW w:w="3270" w:type="dxa"/>
            <w:vAlign w:val="center"/>
          </w:tcPr>
          <w:p w14:paraId="371E0A27">
            <w:pPr>
              <w:widowControl/>
              <w:jc w:val="left"/>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 xml:space="preserve">对科学研究、人工繁育、公众展示展演等利用野生动物及其制品的监督检查  </w:t>
            </w:r>
          </w:p>
        </w:tc>
        <w:tc>
          <w:tcPr>
            <w:tcW w:w="4950" w:type="dxa"/>
            <w:vAlign w:val="center"/>
          </w:tcPr>
          <w:p w14:paraId="56D34517">
            <w:pPr>
              <w:widowControl/>
              <w:jc w:val="left"/>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 xml:space="preserve"> </w:t>
            </w:r>
            <w:r>
              <w:rPr>
                <w:rFonts w:hint="eastAsia" w:ascii="仿宋_GB2312" w:hAnsi="宋体" w:eastAsia="仿宋_GB2312" w:cs="宋体"/>
                <w:b/>
                <w:bCs/>
                <w:color w:val="000000"/>
                <w:kern w:val="0"/>
                <w:sz w:val="28"/>
                <w:szCs w:val="28"/>
                <w:lang w:val="en-US" w:eastAsia="zh-CN"/>
              </w:rPr>
              <w:t xml:space="preserve"> </w:t>
            </w:r>
            <w:r>
              <w:rPr>
                <w:rStyle w:val="9"/>
                <w:rFonts w:hint="eastAsia" w:hAnsi="宋体"/>
                <w:lang w:val="en-US" w:eastAsia="zh-CN" w:bidi="ar"/>
              </w:rPr>
              <w:t xml:space="preserve">《中华人民共和国野生动物保护法》   </w:t>
            </w:r>
          </w:p>
          <w:p w14:paraId="0B4F3F0E">
            <w:pPr>
              <w:widowControl/>
              <w:jc w:val="left"/>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第三十五条 县级以上人民政府野生动物保护主管部门应当对科学研究、人工繁育、公众展示展演等利用野生动物及其制品的活动进行规范和监督管理。</w:t>
            </w:r>
          </w:p>
        </w:tc>
        <w:tc>
          <w:tcPr>
            <w:tcW w:w="3525" w:type="dxa"/>
            <w:gridSpan w:val="2"/>
            <w:vAlign w:val="center"/>
          </w:tcPr>
          <w:p w14:paraId="66CD593B">
            <w:pPr>
              <w:widowControl/>
              <w:jc w:val="left"/>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1.清查陆生野生动物养殖场所动物数量、种类、权属、繁殖记录及谱系档案; 2.对人工繁育场所医疗药品、消毒池、粪便处理、污水排放、饲料存贮等设施及饲养员驯养日志、兽医行医许可进行检查;3.检查养殖场所各项管理制度和应急预案，对预防疫源疫病、动物逃逸、防火防滑等落实情况提出整改意见</w:t>
            </w:r>
          </w:p>
        </w:tc>
        <w:tc>
          <w:tcPr>
            <w:tcW w:w="1499" w:type="dxa"/>
            <w:vAlign w:val="center"/>
          </w:tcPr>
          <w:p w14:paraId="68BDF9D2">
            <w:pPr>
              <w:widowControl/>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2次/年</w:t>
            </w:r>
          </w:p>
          <w:p w14:paraId="031549D0">
            <w:pPr>
              <w:widowControl/>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rPr>
              <w:t>　</w:t>
            </w:r>
          </w:p>
        </w:tc>
      </w:tr>
    </w:tbl>
    <w:p w14:paraId="23D526A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sectPr>
      <w:footerReference r:id="rId3" w:type="default"/>
      <w:pgSz w:w="16838" w:h="11906" w:orient="landscape"/>
      <w:pgMar w:top="1587" w:right="1701" w:bottom="147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FF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8890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A6D4D">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pt;height:144pt;width:144pt;mso-position-horizontal:outside;mso-position-horizontal-relative:margin;mso-wrap-style:none;z-index:251659264;mso-width-relative:page;mso-height-relative:page;" filled="f" stroked="f" coordsize="21600,21600" o:gfxdata="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E+0e9IAAAAGAQAADwAAAAAAAAABACAAAAAiAAAAZHJzL2Rvd25yZXYueG1sUEsBAhQA&#10;FAAAAAgAh07iQGuF+fsxAgAAYQQAAA4AAAAAAAAAAQAgAAAAIQEAAGRycy9lMm9Eb2MueG1sUEsF&#10;BgAAAAAGAAYAWQEAAMQFAAAAAA==&#10;">
              <v:fill on="f" focussize="0,0"/>
              <v:stroke on="f" weight="0.5pt"/>
              <v:imagedata o:title=""/>
              <o:lock v:ext="edit" aspectratio="f"/>
              <v:textbox inset="0mm,0mm,0mm,0mm" style="mso-fit-shape-to-text:t;">
                <w:txbxContent>
                  <w:p w14:paraId="10CA6D4D">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WUyNmI4YjU4MGU0YzVlY2RjMWZhOTdiODNkYTAifQ=="/>
  </w:docVars>
  <w:rsids>
    <w:rsidRoot w:val="0CBD642E"/>
    <w:rsid w:val="001F3ADA"/>
    <w:rsid w:val="017936BE"/>
    <w:rsid w:val="03004097"/>
    <w:rsid w:val="035A5CEF"/>
    <w:rsid w:val="03773C2D"/>
    <w:rsid w:val="049F168E"/>
    <w:rsid w:val="04F26912"/>
    <w:rsid w:val="05065269"/>
    <w:rsid w:val="05724650"/>
    <w:rsid w:val="07DE4BA6"/>
    <w:rsid w:val="09094230"/>
    <w:rsid w:val="0A386F72"/>
    <w:rsid w:val="0C2D4057"/>
    <w:rsid w:val="0C651BCF"/>
    <w:rsid w:val="0CBD642E"/>
    <w:rsid w:val="0DE46363"/>
    <w:rsid w:val="0DEB76F2"/>
    <w:rsid w:val="0DF243CD"/>
    <w:rsid w:val="106F4BD0"/>
    <w:rsid w:val="15426E79"/>
    <w:rsid w:val="191A70DD"/>
    <w:rsid w:val="1F130856"/>
    <w:rsid w:val="1F2E2172"/>
    <w:rsid w:val="1F303A5C"/>
    <w:rsid w:val="1FE346CD"/>
    <w:rsid w:val="201E74B3"/>
    <w:rsid w:val="22001566"/>
    <w:rsid w:val="241035B6"/>
    <w:rsid w:val="26192BF6"/>
    <w:rsid w:val="2815563F"/>
    <w:rsid w:val="288A1856"/>
    <w:rsid w:val="2A8D5961"/>
    <w:rsid w:val="2CA92D39"/>
    <w:rsid w:val="311E1007"/>
    <w:rsid w:val="3195334D"/>
    <w:rsid w:val="33226E62"/>
    <w:rsid w:val="367D2D2D"/>
    <w:rsid w:val="36846E41"/>
    <w:rsid w:val="37991DE9"/>
    <w:rsid w:val="38B14F10"/>
    <w:rsid w:val="3A0E0140"/>
    <w:rsid w:val="3AA9178C"/>
    <w:rsid w:val="3ADE3FB6"/>
    <w:rsid w:val="3BED44B1"/>
    <w:rsid w:val="3C357C06"/>
    <w:rsid w:val="3DB66B25"/>
    <w:rsid w:val="417C3A6E"/>
    <w:rsid w:val="41DA1C92"/>
    <w:rsid w:val="431918B1"/>
    <w:rsid w:val="4488746D"/>
    <w:rsid w:val="48855A71"/>
    <w:rsid w:val="4C1E1056"/>
    <w:rsid w:val="4CBE77A4"/>
    <w:rsid w:val="4E845EDD"/>
    <w:rsid w:val="4F7F76BE"/>
    <w:rsid w:val="4F96791A"/>
    <w:rsid w:val="52AF3E17"/>
    <w:rsid w:val="532F4322"/>
    <w:rsid w:val="54843081"/>
    <w:rsid w:val="564231F4"/>
    <w:rsid w:val="57437223"/>
    <w:rsid w:val="584E40D2"/>
    <w:rsid w:val="58D75E75"/>
    <w:rsid w:val="5C553C81"/>
    <w:rsid w:val="5CDA00B3"/>
    <w:rsid w:val="60912DAE"/>
    <w:rsid w:val="61406582"/>
    <w:rsid w:val="62DB1C1E"/>
    <w:rsid w:val="6523376D"/>
    <w:rsid w:val="694975F4"/>
    <w:rsid w:val="6C06573F"/>
    <w:rsid w:val="6D57712D"/>
    <w:rsid w:val="704C777F"/>
    <w:rsid w:val="7080699B"/>
    <w:rsid w:val="71BC72BE"/>
    <w:rsid w:val="73697BBA"/>
    <w:rsid w:val="756B5E6B"/>
    <w:rsid w:val="75F0011F"/>
    <w:rsid w:val="7761566E"/>
    <w:rsid w:val="78EF46BD"/>
    <w:rsid w:val="7D4A0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9"/>
      <w:szCs w:val="29"/>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21"/>
    <w:basedOn w:val="5"/>
    <w:qFormat/>
    <w:uiPriority w:val="0"/>
    <w:rPr>
      <w:rFonts w:hint="eastAsia" w:ascii="宋体" w:hAnsi="宋体" w:eastAsia="宋体" w:cs="宋体"/>
      <w:b/>
      <w:bCs/>
      <w:color w:val="000000"/>
      <w:sz w:val="22"/>
      <w:szCs w:val="22"/>
      <w:u w:val="none"/>
    </w:rPr>
  </w:style>
  <w:style w:type="character" w:customStyle="1" w:styleId="9">
    <w:name w:val="font11"/>
    <w:basedOn w:val="5"/>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2318</Words>
  <Characters>2367</Characters>
  <Lines>0</Lines>
  <Paragraphs>0</Paragraphs>
  <TotalTime>13</TotalTime>
  <ScaleCrop>false</ScaleCrop>
  <LinksUpToDate>false</LinksUpToDate>
  <CharactersWithSpaces>2913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2025-10-29T03:23:00Z</dcterms:created>
  <dc:creator>H</dc:creator>
  <cp:lastModifiedBy>H</cp:lastModifiedBy>
  <cp:lastPrinted>2025-10-30T07:27:00Z</cp:lastPrinted>
  <dcterms:modified xsi:type="dcterms:W3CDTF">2025-11-24T07:16:38Z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1AA4C6C013524E22AD493298FA35B1B8_13</vt:lpwstr>
  </property>
  <property fmtid="{D5CDD505-2E9C-101B-9397-08002B2CF9AE}" pid="4" name="KSOTemplateDocerSaveRecord">
    <vt:lpwstr>eyJoZGlkIjoiMDZlMWUyNmI4YjU4MGU0YzVlY2RjMWZhOTdiODNkYTAiLCJ1c2VySWQiOiI0OTI3OTY2NDgifQ==</vt:lpwstr>
  </property>
</Properties>
</file>