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203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3"/>
          <w:sz w:val="30"/>
          <w:szCs w:val="30"/>
        </w:rPr>
      </w:pPr>
      <w:r>
        <w:rPr>
          <w:rFonts w:hint="eastAsia" w:ascii="方正小标宋简体" w:hAnsi="方正小标宋简体" w:eastAsia="方正小标宋简体" w:cs="方正小标宋简体"/>
          <w:b w:val="0"/>
          <w:bCs w:val="0"/>
          <w:spacing w:val="14"/>
          <w:sz w:val="44"/>
          <w:szCs w:val="44"/>
          <w:lang w:val="en-US" w:eastAsia="zh-CN"/>
        </w:rPr>
        <w:t>略阳县消防救援大队涉企</w:t>
      </w:r>
      <w:r>
        <w:rPr>
          <w:rFonts w:hint="eastAsia" w:ascii="方正小标宋简体" w:hAnsi="方正小标宋简体" w:eastAsia="方正小标宋简体" w:cs="方正小标宋简体"/>
          <w:b w:val="0"/>
          <w:bCs w:val="0"/>
          <w:spacing w:val="14"/>
          <w:sz w:val="44"/>
          <w:szCs w:val="44"/>
        </w:rPr>
        <w:t>行政检查事项</w:t>
      </w:r>
    </w:p>
    <w:p w14:paraId="0390271B">
      <w:pPr>
        <w:keepNext w:val="0"/>
        <w:keepLines w:val="0"/>
        <w:pageBreakBefore w:val="0"/>
        <w:widowControl w:val="0"/>
        <w:kinsoku/>
        <w:wordWrap/>
        <w:overflowPunct/>
        <w:topLinePunct w:val="0"/>
        <w:autoSpaceDE/>
        <w:autoSpaceDN/>
        <w:bidi w:val="0"/>
        <w:adjustRightInd/>
        <w:snapToGrid/>
        <w:spacing w:line="240" w:lineRule="auto"/>
        <w:ind w:firstLine="918" w:firstLineChars="300"/>
        <w:jc w:val="both"/>
        <w:textAlignment w:val="auto"/>
        <w:rPr>
          <w:rFonts w:hint="eastAsia" w:ascii="仿宋_GB2312" w:hAnsi="仿宋_GB2312" w:eastAsia="仿宋_GB2312" w:cs="仿宋_GB2312"/>
          <w:spacing w:val="2"/>
          <w:sz w:val="30"/>
          <w:szCs w:val="30"/>
        </w:rPr>
      </w:pPr>
      <w:r>
        <w:rPr>
          <w:rFonts w:hint="eastAsia" w:ascii="仿宋_GB2312" w:hAnsi="仿宋_GB2312" w:eastAsia="仿宋_GB2312" w:cs="仿宋_GB2312"/>
          <w:spacing w:val="3"/>
          <w:sz w:val="30"/>
          <w:szCs w:val="30"/>
        </w:rPr>
        <w:t>填报单位:</w:t>
      </w:r>
      <w:r>
        <w:rPr>
          <w:rFonts w:hint="eastAsia" w:ascii="仿宋_GB2312" w:hAnsi="仿宋_GB2312" w:eastAsia="仿宋_GB2312" w:cs="仿宋_GB2312"/>
          <w:spacing w:val="3"/>
          <w:sz w:val="30"/>
          <w:szCs w:val="30"/>
          <w:lang w:val="en-US" w:eastAsia="zh-CN"/>
        </w:rPr>
        <w:t>略阳县消防救援大队</w:t>
      </w:r>
      <w:r>
        <w:rPr>
          <w:rFonts w:hint="eastAsia" w:ascii="仿宋_GB2312" w:hAnsi="仿宋_GB2312" w:eastAsia="仿宋_GB2312" w:cs="仿宋_GB2312"/>
          <w:spacing w:val="6"/>
          <w:sz w:val="30"/>
          <w:szCs w:val="30"/>
          <w:lang w:val="en-US" w:eastAsia="zh-CN"/>
        </w:rPr>
        <w:t xml:space="preserve"> </w:t>
      </w:r>
      <w:r>
        <w:rPr>
          <w:rFonts w:hint="eastAsia" w:ascii="仿宋_GB2312" w:hAnsi="仿宋_GB2312" w:eastAsia="仿宋_GB2312" w:cs="仿宋_GB2312"/>
          <w:spacing w:val="3"/>
          <w:sz w:val="30"/>
          <w:szCs w:val="30"/>
        </w:rPr>
        <w:t>联系人：联系电话：</w:t>
      </w:r>
      <w:r>
        <w:rPr>
          <w:rFonts w:hint="eastAsia" w:ascii="仿宋_GB2312" w:hAnsi="仿宋_GB2312" w:eastAsia="仿宋_GB2312" w:cs="仿宋_GB2312"/>
          <w:spacing w:val="3"/>
          <w:sz w:val="30"/>
          <w:szCs w:val="30"/>
          <w:lang w:val="en-US" w:eastAsia="zh-CN"/>
        </w:rPr>
        <w:t xml:space="preserve">4860688  </w:t>
      </w:r>
      <w:r>
        <w:rPr>
          <w:rFonts w:hint="eastAsia" w:ascii="仿宋_GB2312" w:hAnsi="仿宋_GB2312" w:eastAsia="仿宋_GB2312" w:cs="仿宋_GB2312"/>
          <w:spacing w:val="2"/>
          <w:sz w:val="30"/>
          <w:szCs w:val="30"/>
        </w:rPr>
        <w:t>填报时间：</w:t>
      </w:r>
      <w:r>
        <w:rPr>
          <w:rFonts w:hint="eastAsia" w:ascii="仿宋_GB2312" w:hAnsi="仿宋_GB2312" w:eastAsia="仿宋_GB2312" w:cs="仿宋_GB2312"/>
          <w:spacing w:val="16"/>
          <w:sz w:val="30"/>
          <w:szCs w:val="30"/>
          <w:lang w:val="en-US" w:eastAsia="zh-CN"/>
        </w:rPr>
        <w:t>2025</w:t>
      </w:r>
      <w:r>
        <w:rPr>
          <w:rFonts w:hint="eastAsia" w:ascii="仿宋_GB2312" w:hAnsi="仿宋_GB2312" w:eastAsia="仿宋_GB2312" w:cs="仿宋_GB2312"/>
          <w:spacing w:val="2"/>
          <w:sz w:val="30"/>
          <w:szCs w:val="30"/>
        </w:rPr>
        <w:t>年</w:t>
      </w:r>
      <w:r>
        <w:rPr>
          <w:rFonts w:hint="eastAsia" w:ascii="仿宋_GB2312" w:hAnsi="仿宋_GB2312" w:eastAsia="仿宋_GB2312" w:cs="仿宋_GB2312"/>
          <w:spacing w:val="16"/>
          <w:sz w:val="30"/>
          <w:szCs w:val="30"/>
          <w:lang w:val="en-US" w:eastAsia="zh-CN"/>
        </w:rPr>
        <w:t>11</w:t>
      </w:r>
      <w:r>
        <w:rPr>
          <w:rFonts w:hint="eastAsia" w:ascii="仿宋_GB2312" w:hAnsi="仿宋_GB2312" w:eastAsia="仿宋_GB2312" w:cs="仿宋_GB2312"/>
          <w:spacing w:val="2"/>
          <w:sz w:val="30"/>
          <w:szCs w:val="30"/>
        </w:rPr>
        <w:t>月</w:t>
      </w:r>
      <w:r>
        <w:rPr>
          <w:rFonts w:hint="eastAsia" w:ascii="仿宋_GB2312" w:hAnsi="仿宋_GB2312" w:eastAsia="仿宋_GB2312" w:cs="仿宋_GB2312"/>
          <w:spacing w:val="2"/>
          <w:sz w:val="30"/>
          <w:szCs w:val="30"/>
          <w:lang w:val="en-US" w:eastAsia="zh-CN"/>
        </w:rPr>
        <w:t>6</w:t>
      </w:r>
      <w:r>
        <w:rPr>
          <w:rFonts w:hint="eastAsia" w:ascii="仿宋_GB2312" w:hAnsi="仿宋_GB2312" w:eastAsia="仿宋_GB2312" w:cs="仿宋_GB2312"/>
          <w:spacing w:val="2"/>
          <w:sz w:val="30"/>
          <w:szCs w:val="30"/>
        </w:rPr>
        <w:t>日</w:t>
      </w:r>
    </w:p>
    <w:tbl>
      <w:tblPr>
        <w:tblStyle w:val="6"/>
        <w:tblpPr w:leftFromText="180" w:rightFromText="180" w:vertAnchor="text" w:horzAnchor="page" w:tblpX="1313" w:tblpY="99"/>
        <w:tblOverlap w:val="never"/>
        <w:tblW w:w="14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3"/>
        <w:gridCol w:w="2733"/>
        <w:gridCol w:w="5325"/>
        <w:gridCol w:w="3436"/>
        <w:gridCol w:w="2019"/>
      </w:tblGrid>
      <w:tr w14:paraId="500D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766" w:type="dxa"/>
            <w:gridSpan w:val="2"/>
            <w:vAlign w:val="center"/>
          </w:tcPr>
          <w:p w14:paraId="3799D21F">
            <w:pPr>
              <w:pStyle w:val="5"/>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行政检查事项数</w:t>
            </w:r>
          </w:p>
        </w:tc>
        <w:tc>
          <w:tcPr>
            <w:tcW w:w="5325" w:type="dxa"/>
            <w:vAlign w:val="center"/>
          </w:tcPr>
          <w:p w14:paraId="62EA1FA3">
            <w:pPr>
              <w:pStyle w:val="5"/>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项</w:t>
            </w:r>
          </w:p>
        </w:tc>
        <w:tc>
          <w:tcPr>
            <w:tcW w:w="3436" w:type="dxa"/>
            <w:vAlign w:val="center"/>
          </w:tcPr>
          <w:p w14:paraId="6A95CB0C">
            <w:pPr>
              <w:pStyle w:val="5"/>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涉企行政检查事项数</w:t>
            </w:r>
          </w:p>
        </w:tc>
        <w:tc>
          <w:tcPr>
            <w:tcW w:w="2019" w:type="dxa"/>
            <w:vAlign w:val="center"/>
          </w:tcPr>
          <w:p w14:paraId="60AF02EC">
            <w:pPr>
              <w:pStyle w:val="5"/>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项</w:t>
            </w:r>
          </w:p>
        </w:tc>
      </w:tr>
      <w:tr w14:paraId="6ECA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766" w:type="dxa"/>
            <w:gridSpan w:val="2"/>
            <w:vAlign w:val="center"/>
          </w:tcPr>
          <w:p w14:paraId="399BBAFC">
            <w:pPr>
              <w:pStyle w:val="5"/>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是否制定年度行政检查计划</w:t>
            </w:r>
          </w:p>
        </w:tc>
        <w:tc>
          <w:tcPr>
            <w:tcW w:w="5325" w:type="dxa"/>
            <w:vAlign w:val="center"/>
          </w:tcPr>
          <w:p w14:paraId="7FF0F5B3">
            <w:pPr>
              <w:pStyle w:val="5"/>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c>
          <w:tcPr>
            <w:tcW w:w="3436" w:type="dxa"/>
            <w:vAlign w:val="center"/>
          </w:tcPr>
          <w:p w14:paraId="29A809B0">
            <w:pPr>
              <w:pStyle w:val="5"/>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是否明确年度行政检查频次</w:t>
            </w:r>
          </w:p>
        </w:tc>
        <w:tc>
          <w:tcPr>
            <w:tcW w:w="2019" w:type="dxa"/>
            <w:vAlign w:val="center"/>
          </w:tcPr>
          <w:p w14:paraId="639DEF1E">
            <w:pPr>
              <w:pStyle w:val="5"/>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r>
      <w:tr w14:paraId="194C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766" w:type="dxa"/>
            <w:gridSpan w:val="2"/>
            <w:vAlign w:val="center"/>
          </w:tcPr>
          <w:p w14:paraId="55817840">
            <w:pPr>
              <w:pStyle w:val="5"/>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是否制定并开展专项检查计划</w:t>
            </w:r>
          </w:p>
        </w:tc>
        <w:tc>
          <w:tcPr>
            <w:tcW w:w="5325" w:type="dxa"/>
            <w:vAlign w:val="center"/>
          </w:tcPr>
          <w:p w14:paraId="558B4850">
            <w:pPr>
              <w:pStyle w:val="5"/>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c>
          <w:tcPr>
            <w:tcW w:w="3436" w:type="dxa"/>
            <w:vAlign w:val="center"/>
          </w:tcPr>
          <w:p w14:paraId="50940D30">
            <w:pPr>
              <w:pStyle w:val="5"/>
              <w:keepNext w:val="0"/>
              <w:keepLines w:val="0"/>
              <w:pageBreakBefore w:val="0"/>
              <w:widowControl w:val="0"/>
              <w:kinsoku/>
              <w:wordWrap/>
              <w:overflowPunct/>
              <w:topLinePunct w:val="0"/>
              <w:autoSpaceDE/>
              <w:autoSpaceDN/>
              <w:bidi w:val="0"/>
              <w:adjustRightInd/>
              <w:snapToGrid/>
              <w:spacing w:line="300" w:lineRule="exact"/>
              <w:ind w:left="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是否公示相关内容</w:t>
            </w:r>
          </w:p>
        </w:tc>
        <w:tc>
          <w:tcPr>
            <w:tcW w:w="2019" w:type="dxa"/>
            <w:vAlign w:val="center"/>
          </w:tcPr>
          <w:p w14:paraId="56D6A1AD">
            <w:pPr>
              <w:pStyle w:val="5"/>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是</w:t>
            </w:r>
          </w:p>
        </w:tc>
      </w:tr>
      <w:tr w14:paraId="683F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546" w:type="dxa"/>
            <w:gridSpan w:val="5"/>
            <w:vAlign w:val="top"/>
          </w:tcPr>
          <w:p w14:paraId="3974BC5E">
            <w:pPr>
              <w:pStyle w:val="5"/>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pacing w:val="-3"/>
                <w:sz w:val="32"/>
                <w:szCs w:val="32"/>
                <w:lang w:val="en-US" w:eastAsia="zh-CN"/>
              </w:rPr>
              <w:t>涉企</w:t>
            </w:r>
            <w:r>
              <w:rPr>
                <w:rFonts w:hint="eastAsia" w:ascii="仿宋_GB2312" w:hAnsi="仿宋_GB2312" w:eastAsia="仿宋_GB2312" w:cs="仿宋_GB2312"/>
                <w:b/>
                <w:bCs/>
                <w:spacing w:val="-3"/>
                <w:sz w:val="32"/>
                <w:szCs w:val="32"/>
              </w:rPr>
              <w:t>行政检查事项目录</w:t>
            </w:r>
          </w:p>
        </w:tc>
      </w:tr>
      <w:tr w14:paraId="6244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33" w:type="dxa"/>
            <w:vAlign w:val="center"/>
          </w:tcPr>
          <w:p w14:paraId="097DBD05">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8"/>
                <w:sz w:val="28"/>
                <w:szCs w:val="28"/>
              </w:rPr>
              <w:t>序号</w:t>
            </w:r>
          </w:p>
        </w:tc>
        <w:tc>
          <w:tcPr>
            <w:tcW w:w="2733" w:type="dxa"/>
            <w:vAlign w:val="center"/>
          </w:tcPr>
          <w:p w14:paraId="5D677524">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事项名称</w:t>
            </w:r>
          </w:p>
        </w:tc>
        <w:tc>
          <w:tcPr>
            <w:tcW w:w="5325" w:type="dxa"/>
            <w:vAlign w:val="center"/>
          </w:tcPr>
          <w:p w14:paraId="25249BF2">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事项依据</w:t>
            </w:r>
          </w:p>
        </w:tc>
        <w:tc>
          <w:tcPr>
            <w:tcW w:w="3436" w:type="dxa"/>
            <w:vAlign w:val="center"/>
          </w:tcPr>
          <w:p w14:paraId="64BC73AD">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6"/>
                <w:sz w:val="28"/>
                <w:szCs w:val="28"/>
              </w:rPr>
              <w:t>检查标准</w:t>
            </w:r>
          </w:p>
        </w:tc>
        <w:tc>
          <w:tcPr>
            <w:tcW w:w="2019" w:type="dxa"/>
            <w:vAlign w:val="center"/>
          </w:tcPr>
          <w:p w14:paraId="5A3BCC95">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年度检</w:t>
            </w:r>
            <w:r>
              <w:rPr>
                <w:rFonts w:hint="eastAsia" w:ascii="仿宋_GB2312" w:hAnsi="仿宋_GB2312" w:eastAsia="仿宋_GB2312" w:cs="仿宋_GB2312"/>
                <w:b/>
                <w:bCs/>
                <w:spacing w:val="3"/>
                <w:sz w:val="28"/>
                <w:szCs w:val="28"/>
              </w:rPr>
              <w:t>查频次</w:t>
            </w:r>
          </w:p>
        </w:tc>
      </w:tr>
      <w:tr w14:paraId="0606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33" w:type="dxa"/>
            <w:vAlign w:val="center"/>
          </w:tcPr>
          <w:p w14:paraId="0DE3C6D0">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2733" w:type="dxa"/>
            <w:vAlign w:val="center"/>
          </w:tcPr>
          <w:p w14:paraId="2D11BBE2">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单位消防安全职责监督抽查</w:t>
            </w:r>
          </w:p>
        </w:tc>
        <w:tc>
          <w:tcPr>
            <w:tcW w:w="5325" w:type="dxa"/>
            <w:vAlign w:val="center"/>
          </w:tcPr>
          <w:p w14:paraId="1506FB77">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《中华人民共和国消防法》第五十三条“消防救援机构应当对机关、团体、企业、事业等 单位遵守消防法律、法规的情况依法进行监督检查。公安派出所可以负责日常消防监督检查、开展消防宣传教育，具体办法由国务院公安部门规定。”</w:t>
            </w:r>
          </w:p>
          <w:p w14:paraId="6171BB99">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消防监督检查规定》公安部令第120号第六条：消防监督检查的形式有：（一）对公众聚集场所在投入使用、营业前的消防安全检查；（二）对单位履行法定消防安全职责情况的监督抽查；（三）对举报投诉的消防安全违法行为的核查；（四）对大型群众性活动举办前的消防安全检查；（五）根据需要进行的其他消防监督检查。</w:t>
            </w:r>
          </w:p>
        </w:tc>
        <w:tc>
          <w:tcPr>
            <w:tcW w:w="3436" w:type="dxa"/>
            <w:vAlign w:val="center"/>
          </w:tcPr>
          <w:p w14:paraId="1298E540">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b/>
                <w:bCs/>
                <w:spacing w:val="-6"/>
                <w:sz w:val="28"/>
                <w:szCs w:val="28"/>
              </w:rPr>
            </w:pPr>
            <w:r>
              <w:rPr>
                <w:rFonts w:hint="eastAsia" w:ascii="仿宋_GB2312" w:hAnsi="仿宋_GB2312" w:eastAsia="仿宋_GB2312" w:cs="仿宋_GB2312"/>
                <w:kern w:val="2"/>
                <w:sz w:val="21"/>
                <w:szCs w:val="21"/>
                <w:lang w:val="en-US" w:eastAsia="zh-CN" w:bidi="ar-SA"/>
              </w:rPr>
              <w:t>建筑消防验收、备案合规，场所使用性质与备案信息一致；消防设施器材完好且定期维保，电器、燃气管路定期检测；疏散通道、消防车通道无占用堵塞；按规定开展防火检查、演练和员工培训，易燃易爆危险品存储经营符合规范，重点单位需完成每日防火巡查并留存记录、建立完整消防档案。</w:t>
            </w:r>
          </w:p>
        </w:tc>
        <w:tc>
          <w:tcPr>
            <w:tcW w:w="2019" w:type="dxa"/>
            <w:vAlign w:val="center"/>
          </w:tcPr>
          <w:p w14:paraId="6B487763">
            <w:pPr>
              <w:pStyle w:val="5"/>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spacing w:val="4"/>
                <w:sz w:val="28"/>
                <w:szCs w:val="28"/>
              </w:rPr>
            </w:pPr>
            <w:r>
              <w:rPr>
                <w:rFonts w:hint="eastAsia" w:ascii="仿宋_GB2312" w:hAnsi="宋体" w:eastAsia="仿宋_GB2312" w:cs="宋体"/>
                <w:color w:val="000000"/>
                <w:kern w:val="0"/>
                <w:sz w:val="22"/>
                <w:szCs w:val="22"/>
                <w:lang w:val="en-US" w:eastAsia="zh-CN"/>
              </w:rPr>
              <w:t>1次</w:t>
            </w:r>
            <w:r>
              <w:rPr>
                <w:rFonts w:hint="eastAsia" w:ascii="仿宋_GB2312" w:eastAsia="仿宋_GB2312" w:cs="宋体"/>
                <w:color w:val="000000"/>
                <w:kern w:val="0"/>
                <w:sz w:val="22"/>
                <w:szCs w:val="22"/>
                <w:lang w:val="en-US" w:eastAsia="zh-CN"/>
              </w:rPr>
              <w:t>/年</w:t>
            </w:r>
          </w:p>
        </w:tc>
      </w:tr>
      <w:tr w14:paraId="61092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33" w:type="dxa"/>
            <w:vAlign w:val="center"/>
          </w:tcPr>
          <w:p w14:paraId="54997F6B">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w:t>
            </w:r>
          </w:p>
        </w:tc>
        <w:tc>
          <w:tcPr>
            <w:tcW w:w="2733" w:type="dxa"/>
            <w:vAlign w:val="center"/>
          </w:tcPr>
          <w:p w14:paraId="4D1F57FD">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b/>
                <w:bCs/>
                <w:spacing w:val="3"/>
                <w:sz w:val="28"/>
                <w:szCs w:val="28"/>
              </w:rPr>
            </w:pPr>
            <w:r>
              <w:rPr>
                <w:rFonts w:hint="eastAsia" w:ascii="仿宋_GB2312" w:hAnsi="仿宋_GB2312" w:eastAsia="仿宋_GB2312" w:cs="仿宋_GB2312"/>
                <w:kern w:val="2"/>
                <w:sz w:val="21"/>
                <w:szCs w:val="21"/>
                <w:lang w:val="en-US" w:eastAsia="zh-CN" w:bidi="ar-SA"/>
              </w:rPr>
              <w:t>公众聚集场所投入使用、营业前消防安全检查</w:t>
            </w:r>
          </w:p>
        </w:tc>
        <w:tc>
          <w:tcPr>
            <w:tcW w:w="5325" w:type="dxa"/>
            <w:vAlign w:val="center"/>
          </w:tcPr>
          <w:p w14:paraId="037B0A6D">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中华人民共和国消防法》第十五条：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 诺，提交规定的材料，并对其承诺和材料的真实性负责。消防救援机构对申请人提交的材料进行审查；申请材料齐全、符合法定形式的，应当予以许可。消防救援机构应当根据消防技术标准和管理规定，及时对作出承诺的公众聚集场所进行核查。 </w:t>
            </w:r>
          </w:p>
          <w:p w14:paraId="3E2F63A6">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申请人选择不采用告知承诺方式办理的，消防救援机构应当自受理申请之日起十个工作日内，根据消防技术标准和管理规定，对该场所进行检查。经检查符合消防安全要求的，应当予以许可。公众聚集场所未经消防救援机构许可的，不得投入使用、营业。消防安全检查的具体办法，由国务院应急管理部门制定。</w:t>
            </w:r>
          </w:p>
          <w:p w14:paraId="48783E17">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b/>
                <w:bCs/>
                <w:spacing w:val="4"/>
                <w:sz w:val="28"/>
                <w:szCs w:val="28"/>
                <w:lang w:val="en-US" w:eastAsia="zh-CN"/>
              </w:rPr>
            </w:pPr>
            <w:r>
              <w:rPr>
                <w:rFonts w:hint="eastAsia" w:ascii="仿宋_GB2312" w:hAnsi="仿宋_GB2312" w:eastAsia="仿宋_GB2312" w:cs="仿宋_GB2312"/>
                <w:kern w:val="2"/>
                <w:sz w:val="21"/>
                <w:szCs w:val="21"/>
                <w:lang w:val="en-US" w:eastAsia="zh-CN" w:bidi="ar-SA"/>
              </w:rPr>
              <w:t>《消防监督检查规定》公安部令第120号第六条：消防监督检查的形式有：（一）对公众聚集场所在投入使用、营业前的消防安全检查；（二）对单位履行法定消防安全职责情况的监督抽查；（三）对举报投诉的消防安全违法行为的核查；（四）对大型群众性活动举办前的消防安全检查；（五）根据需要进行的其他消防监督检查。</w:t>
            </w:r>
          </w:p>
        </w:tc>
        <w:tc>
          <w:tcPr>
            <w:tcW w:w="3436" w:type="dxa"/>
            <w:vAlign w:val="center"/>
          </w:tcPr>
          <w:p w14:paraId="0E470047">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b/>
                <w:bCs/>
                <w:spacing w:val="-6"/>
                <w:sz w:val="28"/>
                <w:szCs w:val="28"/>
              </w:rPr>
            </w:pPr>
            <w:r>
              <w:rPr>
                <w:rFonts w:hint="eastAsia" w:ascii="仿宋_GB2312" w:hAnsi="仿宋_GB2312" w:eastAsia="仿宋_GB2312" w:cs="仿宋_GB2312"/>
                <w:kern w:val="2"/>
                <w:sz w:val="21"/>
                <w:szCs w:val="21"/>
                <w:lang w:val="en-US" w:eastAsia="zh-CN" w:bidi="ar-SA"/>
              </w:rPr>
              <w:t>申请材料真实齐全；建筑消防验收或备案手续完备；消防安全制度、应急疏散预案完善；消防设施完好有效，疏散通道及消防车通道畅通；装修材料合规，外墙门窗无影响逃生救援的障碍物；自动消防系统操作人员持证上岗，员工消防安全培训到位，告知承诺类场所需现场核查与承诺内容一致。</w:t>
            </w:r>
          </w:p>
        </w:tc>
        <w:tc>
          <w:tcPr>
            <w:tcW w:w="2019" w:type="dxa"/>
            <w:vAlign w:val="center"/>
          </w:tcPr>
          <w:p w14:paraId="313C1F43">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宋体" w:eastAsia="仿宋_GB2312" w:cs="宋体"/>
                <w:color w:val="000000"/>
                <w:kern w:val="0"/>
                <w:sz w:val="22"/>
                <w:szCs w:val="22"/>
                <w:lang w:val="en-US" w:eastAsia="zh-CN"/>
              </w:rPr>
            </w:pPr>
            <w:r>
              <w:rPr>
                <w:rFonts w:hint="eastAsia" w:ascii="仿宋_GB2312" w:hAnsi="宋体" w:eastAsia="仿宋_GB2312" w:cs="宋体"/>
                <w:color w:val="000000"/>
                <w:kern w:val="0"/>
                <w:sz w:val="22"/>
                <w:szCs w:val="22"/>
                <w:lang w:val="en-US" w:eastAsia="zh-CN"/>
              </w:rPr>
              <w:t>1次</w:t>
            </w:r>
            <w:r>
              <w:rPr>
                <w:rFonts w:hint="eastAsia" w:ascii="仿宋_GB2312" w:eastAsia="仿宋_GB2312" w:cs="宋体"/>
                <w:color w:val="000000"/>
                <w:kern w:val="0"/>
                <w:sz w:val="22"/>
                <w:szCs w:val="22"/>
                <w:lang w:val="en-US" w:eastAsia="zh-CN"/>
              </w:rPr>
              <w:t>/年</w:t>
            </w:r>
          </w:p>
        </w:tc>
      </w:tr>
      <w:tr w14:paraId="567B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33" w:type="dxa"/>
            <w:vAlign w:val="center"/>
          </w:tcPr>
          <w:p w14:paraId="65D28057">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w:t>
            </w:r>
          </w:p>
        </w:tc>
        <w:tc>
          <w:tcPr>
            <w:tcW w:w="2733" w:type="dxa"/>
            <w:vAlign w:val="center"/>
          </w:tcPr>
          <w:p w14:paraId="0D8F0DA8">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消防产品质量监督检查</w:t>
            </w:r>
          </w:p>
        </w:tc>
        <w:tc>
          <w:tcPr>
            <w:tcW w:w="5325" w:type="dxa"/>
            <w:vAlign w:val="center"/>
          </w:tcPr>
          <w:p w14:paraId="27BD3133">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b/>
                <w:bCs/>
                <w:spacing w:val="4"/>
                <w:sz w:val="28"/>
                <w:szCs w:val="28"/>
                <w:lang w:val="en-US" w:eastAsia="zh-CN"/>
              </w:rPr>
            </w:pPr>
            <w:r>
              <w:rPr>
                <w:rFonts w:hint="default" w:ascii="仿宋_GB2312" w:hAnsi="仿宋_GB2312" w:eastAsia="仿宋_GB2312" w:cs="仿宋_GB2312"/>
                <w:kern w:val="2"/>
                <w:sz w:val="21"/>
                <w:szCs w:val="21"/>
                <w:lang w:val="en-US" w:eastAsia="zh-CN" w:bidi="ar-SA"/>
              </w:rPr>
              <w:t>《消防产品监督管理规定》公安部令第122号第</w:t>
            </w:r>
            <w:r>
              <w:rPr>
                <w:rFonts w:hint="eastAsia" w:ascii="仿宋_GB2312" w:hAnsi="仿宋_GB2312" w:eastAsia="仿宋_GB2312" w:cs="仿宋_GB2312"/>
                <w:kern w:val="2"/>
                <w:sz w:val="21"/>
                <w:szCs w:val="21"/>
                <w:lang w:val="en-US" w:eastAsia="zh-CN" w:bidi="ar-SA"/>
              </w:rPr>
              <w:t>四</w:t>
            </w:r>
            <w:r>
              <w:rPr>
                <w:rFonts w:hint="default" w:ascii="仿宋_GB2312" w:hAnsi="仿宋_GB2312" w:eastAsia="仿宋_GB2312" w:cs="仿宋_GB2312"/>
                <w:kern w:val="2"/>
                <w:sz w:val="21"/>
                <w:szCs w:val="21"/>
                <w:lang w:val="en-US" w:eastAsia="zh-CN" w:bidi="ar-SA"/>
              </w:rPr>
              <w:t>条</w:t>
            </w:r>
            <w:r>
              <w:rPr>
                <w:rFonts w:hint="eastAsia" w:ascii="仿宋_GB2312" w:hAnsi="仿宋_GB2312" w:eastAsia="仿宋_GB2312" w:cs="仿宋_GB2312"/>
                <w:kern w:val="2"/>
                <w:sz w:val="21"/>
                <w:szCs w:val="21"/>
                <w:lang w:val="en-US" w:eastAsia="zh-CN" w:bidi="ar-SA"/>
              </w:rPr>
              <w:t>：县级以上地方质量监督部门、工商行政管理部门和公安机关消防机构，按照各自职责对本行政区域内生产、流通和使用领域的消防产品质量实施监督管理。</w:t>
            </w:r>
          </w:p>
        </w:tc>
        <w:tc>
          <w:tcPr>
            <w:tcW w:w="3436" w:type="dxa"/>
            <w:vAlign w:val="center"/>
          </w:tcPr>
          <w:p w14:paraId="05B9EEC8">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b/>
                <w:bCs/>
                <w:spacing w:val="-6"/>
                <w:sz w:val="28"/>
                <w:szCs w:val="28"/>
              </w:rPr>
            </w:pPr>
            <w:r>
              <w:rPr>
                <w:rFonts w:hint="eastAsia" w:ascii="仿宋_GB2312" w:hAnsi="仿宋_GB2312" w:eastAsia="仿宋_GB2312" w:cs="仿宋_GB2312"/>
                <w:kern w:val="2"/>
                <w:sz w:val="21"/>
                <w:szCs w:val="21"/>
                <w:lang w:val="en-US" w:eastAsia="zh-CN" w:bidi="ar-SA"/>
              </w:rPr>
              <w:t>消防产品符合国家相关标准，具备合格证明文件；产品型号、规格与备案信息一致，无假冒伪劣、过期失效的消防产品，产品安装使用符合规范要求。</w:t>
            </w:r>
          </w:p>
        </w:tc>
        <w:tc>
          <w:tcPr>
            <w:tcW w:w="2019" w:type="dxa"/>
            <w:vAlign w:val="center"/>
          </w:tcPr>
          <w:p w14:paraId="1A9C020C">
            <w:pPr>
              <w:pStyle w:val="5"/>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spacing w:val="4"/>
                <w:sz w:val="28"/>
                <w:szCs w:val="28"/>
              </w:rPr>
            </w:pPr>
            <w:r>
              <w:rPr>
                <w:rFonts w:hint="eastAsia" w:ascii="仿宋_GB2312" w:hAnsi="宋体" w:eastAsia="仿宋_GB2312" w:cs="宋体"/>
                <w:color w:val="000000"/>
                <w:kern w:val="0"/>
                <w:sz w:val="22"/>
                <w:szCs w:val="22"/>
                <w:lang w:val="en-US" w:eastAsia="zh-CN"/>
              </w:rPr>
              <w:t>1次</w:t>
            </w:r>
            <w:r>
              <w:rPr>
                <w:rFonts w:hint="eastAsia" w:ascii="仿宋_GB2312" w:eastAsia="仿宋_GB2312" w:cs="宋体"/>
                <w:color w:val="000000"/>
                <w:kern w:val="0"/>
                <w:sz w:val="22"/>
                <w:szCs w:val="22"/>
                <w:lang w:val="en-US" w:eastAsia="zh-CN"/>
              </w:rPr>
              <w:t>/年</w:t>
            </w:r>
          </w:p>
        </w:tc>
      </w:tr>
      <w:tr w14:paraId="23CD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33" w:type="dxa"/>
            <w:vAlign w:val="center"/>
          </w:tcPr>
          <w:p w14:paraId="0AD7FF70">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w:t>
            </w:r>
          </w:p>
        </w:tc>
        <w:tc>
          <w:tcPr>
            <w:tcW w:w="2733" w:type="dxa"/>
            <w:vAlign w:val="center"/>
          </w:tcPr>
          <w:p w14:paraId="177EE603">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社会消防技术服务机构监督检查</w:t>
            </w:r>
          </w:p>
        </w:tc>
        <w:tc>
          <w:tcPr>
            <w:tcW w:w="5325" w:type="dxa"/>
            <w:vAlign w:val="center"/>
          </w:tcPr>
          <w:p w14:paraId="353C82F6">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《社会消防技术服务管理规定》应急管理部令第7号第</w:t>
            </w:r>
            <w:r>
              <w:rPr>
                <w:rFonts w:hint="eastAsia" w:ascii="仿宋_GB2312" w:hAnsi="仿宋_GB2312" w:eastAsia="仿宋_GB2312" w:cs="仿宋_GB2312"/>
                <w:kern w:val="2"/>
                <w:sz w:val="21"/>
                <w:szCs w:val="21"/>
                <w:lang w:val="en-US" w:eastAsia="zh-CN" w:bidi="ar-SA"/>
              </w:rPr>
              <w:t>十九</w:t>
            </w:r>
            <w:r>
              <w:rPr>
                <w:rFonts w:hint="default" w:ascii="仿宋_GB2312" w:hAnsi="仿宋_GB2312" w:eastAsia="仿宋_GB2312" w:cs="仿宋_GB2312"/>
                <w:kern w:val="2"/>
                <w:sz w:val="21"/>
                <w:szCs w:val="21"/>
                <w:lang w:val="en-US" w:eastAsia="zh-CN" w:bidi="ar-SA"/>
              </w:rPr>
              <w:t>条</w:t>
            </w:r>
            <w:r>
              <w:rPr>
                <w:rFonts w:hint="eastAsia" w:ascii="仿宋_GB2312" w:hAnsi="仿宋_GB2312" w:eastAsia="仿宋_GB2312" w:cs="仿宋_GB2312"/>
                <w:kern w:val="2"/>
                <w:sz w:val="21"/>
                <w:szCs w:val="21"/>
                <w:lang w:val="en-US" w:eastAsia="zh-CN" w:bidi="ar-SA"/>
              </w:rPr>
              <w:t>：县级以上人民政府消防救援机构依照有关法律、法规和本规定，对本行政区域内的社会消防技术服务活动实施监督管理。消防技术服务机构及其从业人员对消防救援机构依法进行的监督管理应当协助和配合，不得拒绝或者阻挠。</w:t>
            </w:r>
          </w:p>
          <w:p w14:paraId="64FF15E1">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《社会消防技术服务管理规定》应急管理部令第7号</w:t>
            </w:r>
            <w:r>
              <w:rPr>
                <w:rFonts w:hint="eastAsia" w:ascii="仿宋_GB2312" w:hAnsi="仿宋_GB2312" w:eastAsia="仿宋_GB2312" w:cs="仿宋_GB2312"/>
                <w:kern w:val="2"/>
                <w:sz w:val="21"/>
                <w:szCs w:val="21"/>
                <w:lang w:val="en-US" w:eastAsia="zh-CN" w:bidi="ar-SA"/>
              </w:rPr>
              <w:t>第二十三</w:t>
            </w:r>
            <w:r>
              <w:rPr>
                <w:rFonts w:hint="default" w:ascii="仿宋_GB2312" w:hAnsi="仿宋_GB2312" w:eastAsia="仿宋_GB2312" w:cs="仿宋_GB2312"/>
                <w:kern w:val="2"/>
                <w:sz w:val="21"/>
                <w:szCs w:val="21"/>
                <w:lang w:val="en-US" w:eastAsia="zh-CN" w:bidi="ar-SA"/>
              </w:rPr>
              <w:t>条</w:t>
            </w:r>
            <w:r>
              <w:rPr>
                <w:rFonts w:hint="eastAsia" w:ascii="仿宋_GB2312" w:hAnsi="仿宋_GB2312" w:eastAsia="仿宋_GB2312" w:cs="仿宋_GB2312"/>
                <w:kern w:val="2"/>
                <w:sz w:val="21"/>
                <w:szCs w:val="21"/>
                <w:lang w:val="en-US" w:eastAsia="zh-CN" w:bidi="ar-SA"/>
              </w:rPr>
              <w:t>：消防救援机构根据消防监督管理需要，可以对辖区内从业的消防技术服务机构进行专项检查。专项检查应当随机抽取检查对象，随机选派检查人员，检查情况及查处结果及时向社会公开。</w:t>
            </w:r>
          </w:p>
        </w:tc>
        <w:tc>
          <w:tcPr>
            <w:tcW w:w="3436" w:type="dxa"/>
            <w:vAlign w:val="center"/>
          </w:tcPr>
          <w:p w14:paraId="1ABC1D85">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b/>
                <w:bCs/>
                <w:spacing w:val="-6"/>
                <w:sz w:val="28"/>
                <w:szCs w:val="28"/>
              </w:rPr>
            </w:pPr>
            <w:r>
              <w:rPr>
                <w:rFonts w:hint="eastAsia" w:ascii="仿宋_GB2312" w:hAnsi="仿宋_GB2312" w:eastAsia="仿宋_GB2312" w:cs="仿宋_GB2312"/>
                <w:kern w:val="2"/>
                <w:sz w:val="21"/>
                <w:szCs w:val="21"/>
                <w:lang w:val="en-US" w:eastAsia="zh-CN" w:bidi="ar-SA"/>
              </w:rPr>
              <w:t>具备企业法人资格，经营范围含对应消防技术服务类目，工作场所、设备配备达标；执业人员资质合规、社保齐全，无挂证、多单位执业情况；不转包分包服务项目，不出具虚假失实文件，服务档案建立完整且妥善保管，经营场所公示事项齐全。</w:t>
            </w:r>
          </w:p>
        </w:tc>
        <w:tc>
          <w:tcPr>
            <w:tcW w:w="2019" w:type="dxa"/>
            <w:vAlign w:val="center"/>
          </w:tcPr>
          <w:p w14:paraId="45D59D1E">
            <w:pPr>
              <w:pStyle w:val="5"/>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spacing w:val="4"/>
                <w:sz w:val="28"/>
                <w:szCs w:val="28"/>
              </w:rPr>
            </w:pPr>
            <w:r>
              <w:rPr>
                <w:rFonts w:hint="eastAsia" w:ascii="仿宋_GB2312" w:hAnsi="宋体" w:eastAsia="仿宋_GB2312" w:cs="宋体"/>
                <w:color w:val="000000"/>
                <w:kern w:val="0"/>
                <w:sz w:val="22"/>
                <w:szCs w:val="22"/>
                <w:lang w:val="en-US" w:eastAsia="zh-CN"/>
              </w:rPr>
              <w:t>1次</w:t>
            </w:r>
            <w:r>
              <w:rPr>
                <w:rFonts w:hint="eastAsia" w:ascii="仿宋_GB2312" w:eastAsia="仿宋_GB2312" w:cs="宋体"/>
                <w:color w:val="000000"/>
                <w:kern w:val="0"/>
                <w:sz w:val="22"/>
                <w:szCs w:val="22"/>
                <w:lang w:val="en-US" w:eastAsia="zh-CN"/>
              </w:rPr>
              <w:t>/年</w:t>
            </w:r>
          </w:p>
        </w:tc>
      </w:tr>
      <w:tr w14:paraId="0948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33" w:type="dxa"/>
            <w:vAlign w:val="center"/>
          </w:tcPr>
          <w:p w14:paraId="7759F3E9">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w:t>
            </w:r>
          </w:p>
        </w:tc>
        <w:tc>
          <w:tcPr>
            <w:tcW w:w="2733" w:type="dxa"/>
            <w:vAlign w:val="center"/>
          </w:tcPr>
          <w:p w14:paraId="613CEC7D">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注册消防工程师执业活动监督检查</w:t>
            </w:r>
          </w:p>
        </w:tc>
        <w:tc>
          <w:tcPr>
            <w:tcW w:w="5325" w:type="dxa"/>
            <w:vAlign w:val="center"/>
          </w:tcPr>
          <w:p w14:paraId="068477A3">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《注册消防工程师管理规定》公安部令第143号第</w:t>
            </w:r>
            <w:r>
              <w:rPr>
                <w:rFonts w:hint="eastAsia" w:ascii="仿宋_GB2312" w:hAnsi="仿宋_GB2312" w:eastAsia="仿宋_GB2312" w:cs="仿宋_GB2312"/>
                <w:kern w:val="2"/>
                <w:sz w:val="21"/>
                <w:szCs w:val="21"/>
                <w:lang w:val="en-US" w:eastAsia="zh-CN" w:bidi="ar-SA"/>
              </w:rPr>
              <w:t>三十八</w:t>
            </w:r>
            <w:r>
              <w:rPr>
                <w:rFonts w:hint="default" w:ascii="仿宋_GB2312" w:hAnsi="仿宋_GB2312" w:eastAsia="仿宋_GB2312" w:cs="仿宋_GB2312"/>
                <w:kern w:val="2"/>
                <w:sz w:val="21"/>
                <w:szCs w:val="21"/>
                <w:lang w:val="en-US" w:eastAsia="zh-CN" w:bidi="ar-SA"/>
              </w:rPr>
              <w:t>条</w:t>
            </w:r>
            <w:r>
              <w:rPr>
                <w:rFonts w:hint="eastAsia" w:ascii="仿宋_GB2312" w:hAnsi="仿宋_GB2312" w:eastAsia="仿宋_GB2312" w:cs="仿宋_GB2312"/>
                <w:kern w:val="2"/>
                <w:sz w:val="21"/>
                <w:szCs w:val="21"/>
                <w:lang w:val="en-US" w:eastAsia="zh-CN" w:bidi="ar-SA"/>
              </w:rPr>
              <w:t>：县级以上公安机关消防机构依照有关法律、法规和本规定，对本行政区域内注册消防工程师的执业活动实施监督管理。注册消防工程师及其聘用单位对公安机关消防机构依法进行的监督管理应当协助与配合，不得拒绝或者阻挠。</w:t>
            </w:r>
          </w:p>
        </w:tc>
        <w:tc>
          <w:tcPr>
            <w:tcW w:w="3436" w:type="dxa"/>
            <w:vAlign w:val="center"/>
          </w:tcPr>
          <w:p w14:paraId="102F80FC">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b/>
                <w:bCs/>
                <w:spacing w:val="-6"/>
                <w:sz w:val="28"/>
                <w:szCs w:val="28"/>
              </w:rPr>
            </w:pPr>
            <w:r>
              <w:rPr>
                <w:rFonts w:hint="eastAsia" w:ascii="仿宋_GB2312" w:hAnsi="仿宋_GB2312" w:eastAsia="仿宋_GB2312" w:cs="仿宋_GB2312"/>
                <w:kern w:val="2"/>
                <w:sz w:val="21"/>
                <w:szCs w:val="21"/>
                <w:lang w:val="en-US" w:eastAsia="zh-CN" w:bidi="ar-SA"/>
              </w:rPr>
              <w:t>持有效注册证书执业，无同时在两个及以上社会组织执业的情况；执业行为合规，出具的相关文件签字盖章规范，无违法违规执业、出具虚假文件的行为。</w:t>
            </w:r>
          </w:p>
        </w:tc>
        <w:tc>
          <w:tcPr>
            <w:tcW w:w="2019" w:type="dxa"/>
            <w:vAlign w:val="center"/>
          </w:tcPr>
          <w:p w14:paraId="631ACDD8">
            <w:pPr>
              <w:pStyle w:val="5"/>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spacing w:val="4"/>
                <w:sz w:val="28"/>
                <w:szCs w:val="28"/>
              </w:rPr>
            </w:pPr>
            <w:r>
              <w:rPr>
                <w:rFonts w:hint="eastAsia" w:ascii="仿宋_GB2312" w:hAnsi="宋体" w:eastAsia="仿宋_GB2312" w:cs="宋体"/>
                <w:color w:val="000000"/>
                <w:kern w:val="0"/>
                <w:sz w:val="22"/>
                <w:szCs w:val="22"/>
                <w:lang w:val="en-US" w:eastAsia="zh-CN"/>
              </w:rPr>
              <w:t>1次</w:t>
            </w:r>
            <w:r>
              <w:rPr>
                <w:rFonts w:hint="eastAsia" w:ascii="仿宋_GB2312" w:eastAsia="仿宋_GB2312" w:cs="宋体"/>
                <w:color w:val="000000"/>
                <w:kern w:val="0"/>
                <w:sz w:val="22"/>
                <w:szCs w:val="22"/>
                <w:lang w:val="en-US" w:eastAsia="zh-CN"/>
              </w:rPr>
              <w:t>/年</w:t>
            </w:r>
          </w:p>
        </w:tc>
      </w:tr>
      <w:tr w14:paraId="4FFD8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33" w:type="dxa"/>
            <w:vAlign w:val="center"/>
          </w:tcPr>
          <w:p w14:paraId="0FD7DC60">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w:t>
            </w:r>
          </w:p>
        </w:tc>
        <w:tc>
          <w:tcPr>
            <w:tcW w:w="2733" w:type="dxa"/>
            <w:vAlign w:val="center"/>
          </w:tcPr>
          <w:p w14:paraId="2A790E89">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大型群众性活动举办前检查</w:t>
            </w:r>
          </w:p>
        </w:tc>
        <w:tc>
          <w:tcPr>
            <w:tcW w:w="5325" w:type="dxa"/>
            <w:vAlign w:val="center"/>
          </w:tcPr>
          <w:p w14:paraId="49099E76">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《消防监督检查规定》公安部令第120号第</w:t>
            </w:r>
            <w:r>
              <w:rPr>
                <w:rFonts w:hint="eastAsia" w:ascii="仿宋_GB2312" w:hAnsi="仿宋_GB2312" w:eastAsia="仿宋_GB2312" w:cs="仿宋_GB2312"/>
                <w:kern w:val="2"/>
                <w:sz w:val="21"/>
                <w:szCs w:val="21"/>
                <w:lang w:val="en-US" w:eastAsia="zh-CN" w:bidi="ar-SA"/>
              </w:rPr>
              <w:t>六</w:t>
            </w:r>
            <w:r>
              <w:rPr>
                <w:rFonts w:hint="default" w:ascii="仿宋_GB2312" w:hAnsi="仿宋_GB2312" w:eastAsia="仿宋_GB2312" w:cs="仿宋_GB2312"/>
                <w:kern w:val="2"/>
                <w:sz w:val="21"/>
                <w:szCs w:val="21"/>
                <w:lang w:val="en-US" w:eastAsia="zh-CN" w:bidi="ar-SA"/>
              </w:rPr>
              <w:t>条</w:t>
            </w:r>
            <w:r>
              <w:rPr>
                <w:rFonts w:hint="eastAsia" w:ascii="仿宋_GB2312" w:hAnsi="仿宋_GB2312" w:eastAsia="仿宋_GB2312" w:cs="仿宋_GB2312"/>
                <w:kern w:val="2"/>
                <w:sz w:val="21"/>
                <w:szCs w:val="21"/>
                <w:lang w:val="en-US" w:eastAsia="zh-CN" w:bidi="ar-SA"/>
              </w:rPr>
              <w:t>：消防监督检查的形式有：（一）对公众聚集场所在投入使用、营业前的消防安全检查；（二）对单位履行法定消防安全职责情况的监督抽查；（三）对举报投诉的消防安全违法行为的核查；（四）对大型群众性活动举办前的消防安全检查；（五）根据需要进行的其他消防监督检查。</w:t>
            </w:r>
          </w:p>
          <w:p w14:paraId="32A39DA8">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《消防监督检查规定》公安部令第120号第</w:t>
            </w:r>
            <w:r>
              <w:rPr>
                <w:rFonts w:hint="eastAsia" w:ascii="仿宋_GB2312" w:hAnsi="仿宋_GB2312" w:eastAsia="仿宋_GB2312" w:cs="仿宋_GB2312"/>
                <w:kern w:val="2"/>
                <w:sz w:val="21"/>
                <w:szCs w:val="21"/>
                <w:lang w:val="en-US" w:eastAsia="zh-CN" w:bidi="ar-SA"/>
              </w:rPr>
              <w:t>十六</w:t>
            </w:r>
            <w:r>
              <w:rPr>
                <w:rFonts w:hint="default" w:ascii="仿宋_GB2312" w:hAnsi="仿宋_GB2312" w:eastAsia="仿宋_GB2312" w:cs="仿宋_GB2312"/>
                <w:kern w:val="2"/>
                <w:sz w:val="21"/>
                <w:szCs w:val="21"/>
                <w:lang w:val="en-US" w:eastAsia="zh-CN" w:bidi="ar-SA"/>
              </w:rPr>
              <w:t>条</w:t>
            </w:r>
            <w:r>
              <w:rPr>
                <w:rFonts w:hint="eastAsia" w:ascii="仿宋_GB2312" w:hAnsi="仿宋_GB2312" w:eastAsia="仿宋_GB2312" w:cs="仿宋_GB2312"/>
                <w:kern w:val="2"/>
                <w:sz w:val="21"/>
                <w:szCs w:val="21"/>
                <w:lang w:val="en-US" w:eastAsia="zh-CN" w:bidi="ar-SA"/>
              </w:rPr>
              <w:t>：对大型群众性活动现场在举办前进行的消防安全检查，公安机关消防机构应当在接到本级公安机关治安部门书面通知之日起三个工作日内进行检查，并将检查记录移交本级公安机关治安部门。</w:t>
            </w:r>
          </w:p>
        </w:tc>
        <w:tc>
          <w:tcPr>
            <w:tcW w:w="3436" w:type="dxa"/>
            <w:vAlign w:val="center"/>
          </w:tcPr>
          <w:p w14:paraId="6043A730">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b/>
                <w:bCs/>
                <w:spacing w:val="-6"/>
                <w:sz w:val="28"/>
                <w:szCs w:val="28"/>
              </w:rPr>
            </w:pPr>
            <w:r>
              <w:rPr>
                <w:rFonts w:hint="eastAsia" w:ascii="仿宋_GB2312" w:hAnsi="仿宋_GB2312" w:eastAsia="仿宋_GB2312" w:cs="仿宋_GB2312"/>
                <w:kern w:val="2"/>
                <w:sz w:val="21"/>
                <w:szCs w:val="21"/>
                <w:lang w:val="en-US" w:eastAsia="zh-CN" w:bidi="ar-SA"/>
              </w:rPr>
              <w:t>活动场地及临时搭建建筑符合消防标准；活动消防预案完善、责任分工明确；现场消防设施完好、疏散通道及应急照明达标，能满足活动人流量的应急疏散需求。</w:t>
            </w:r>
          </w:p>
        </w:tc>
        <w:tc>
          <w:tcPr>
            <w:tcW w:w="2019" w:type="dxa"/>
            <w:vAlign w:val="center"/>
          </w:tcPr>
          <w:p w14:paraId="320D1FB1">
            <w:pPr>
              <w:pStyle w:val="5"/>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spacing w:val="4"/>
                <w:sz w:val="28"/>
                <w:szCs w:val="28"/>
              </w:rPr>
            </w:pPr>
            <w:r>
              <w:rPr>
                <w:rFonts w:hint="eastAsia" w:ascii="仿宋_GB2312" w:hAnsi="宋体" w:eastAsia="仿宋_GB2312" w:cs="宋体"/>
                <w:color w:val="000000"/>
                <w:kern w:val="0"/>
                <w:sz w:val="22"/>
                <w:szCs w:val="22"/>
                <w:lang w:val="en-US" w:eastAsia="zh-CN"/>
              </w:rPr>
              <w:t>1次</w:t>
            </w:r>
            <w:r>
              <w:rPr>
                <w:rFonts w:hint="eastAsia" w:ascii="仿宋_GB2312" w:eastAsia="仿宋_GB2312" w:cs="宋体"/>
                <w:color w:val="000000"/>
                <w:kern w:val="0"/>
                <w:sz w:val="22"/>
                <w:szCs w:val="22"/>
                <w:lang w:val="en-US" w:eastAsia="zh-CN"/>
              </w:rPr>
              <w:t>/年</w:t>
            </w:r>
          </w:p>
        </w:tc>
      </w:tr>
      <w:tr w14:paraId="5597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33" w:type="dxa"/>
            <w:vAlign w:val="center"/>
          </w:tcPr>
          <w:p w14:paraId="3DA14BD7">
            <w:pPr>
              <w:pStyle w:val="5"/>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w:t>
            </w:r>
          </w:p>
        </w:tc>
        <w:tc>
          <w:tcPr>
            <w:tcW w:w="2733" w:type="dxa"/>
            <w:vAlign w:val="center"/>
          </w:tcPr>
          <w:p w14:paraId="6B447EF1">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消防违法举报投诉核查</w:t>
            </w:r>
          </w:p>
        </w:tc>
        <w:tc>
          <w:tcPr>
            <w:tcW w:w="5325" w:type="dxa"/>
            <w:vAlign w:val="center"/>
          </w:tcPr>
          <w:p w14:paraId="08FA615C">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《中华人民共和国消防法》第五十三条：消防救援机构应当对机关、团体、企业、事业等 单位遵守消防法律、法规的情况依法进行监督检查。公安派出所可以负责日常消防监督检查、开展消防宣传教育，具体办法由国务院公安部门规定；</w:t>
            </w:r>
          </w:p>
          <w:p w14:paraId="1EB80479">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《消防监督检查规定》（公安部令第120号）</w:t>
            </w:r>
            <w:r>
              <w:rPr>
                <w:rFonts w:hint="eastAsia" w:ascii="仿宋_GB2312" w:hAnsi="仿宋_GB2312" w:eastAsia="仿宋_GB2312" w:cs="仿宋_GB2312"/>
                <w:kern w:val="2"/>
                <w:sz w:val="21"/>
                <w:szCs w:val="21"/>
                <w:lang w:val="en-US" w:eastAsia="zh-CN" w:bidi="ar-SA"/>
              </w:rPr>
              <w:t>第六条：消防监督检查的形式有：（一）对公众聚集场所在投入使用、营业前的消防安全检查；（二）对单位履行法定消防安全职责情况的监督抽查；（三）对举报投诉的消防安全违法行为的核查；（四）对大型群众性活动举办前的消防安全检查；（五）根据需要进行的其他消防监督检查。</w:t>
            </w:r>
          </w:p>
          <w:p w14:paraId="029946C1">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《消防监督检查规定》（公安部令第120号）</w:t>
            </w:r>
            <w:r>
              <w:rPr>
                <w:rFonts w:hint="eastAsia" w:ascii="仿宋_GB2312" w:hAnsi="仿宋_GB2312" w:eastAsia="仿宋_GB2312" w:cs="仿宋_GB2312"/>
                <w:kern w:val="2"/>
                <w:sz w:val="21"/>
                <w:szCs w:val="21"/>
                <w:lang w:val="en-US" w:eastAsia="zh-CN" w:bidi="ar-SA"/>
              </w:rPr>
              <w:t>第十八条：公安机关消防机构应当按照下列时限，对举报投诉的消防安全违法行为进行实地核查：（一）对举报投诉占用、堵塞、封闭疏散通道、安全出口或者其他妨碍安全疏散行为，以及擅自停用消防设施的，应当在接到举报投诉后二十四小时内进行核查；（二）对举报投诉本款第一项以外的消防安全违法行为，应当在接到举报投诉之日起三个工作日内进行核查。核查后，对消防安全违法行为应当依法处理。处理情况应当及时告知举报投诉人；无法告知的，应当在受理登记中注明。</w:t>
            </w:r>
          </w:p>
        </w:tc>
        <w:tc>
          <w:tcPr>
            <w:tcW w:w="3436" w:type="dxa"/>
            <w:vAlign w:val="center"/>
          </w:tcPr>
          <w:p w14:paraId="1628B833">
            <w:pPr>
              <w:pStyle w:val="5"/>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default" w:ascii="仿宋_GB2312" w:hAnsi="仿宋_GB2312" w:eastAsia="仿宋_GB2312" w:cs="仿宋_GB2312"/>
                <w:b/>
                <w:bCs/>
                <w:spacing w:val="-6"/>
                <w:sz w:val="28"/>
                <w:szCs w:val="28"/>
                <w:lang w:val="en-US" w:eastAsia="zh-CN"/>
              </w:rPr>
            </w:pPr>
            <w:r>
              <w:rPr>
                <w:rFonts w:hint="eastAsia" w:ascii="仿宋_GB2312" w:hAnsi="仿宋_GB2312" w:eastAsia="仿宋_GB2312" w:cs="仿宋_GB2312"/>
                <w:kern w:val="2"/>
                <w:sz w:val="21"/>
                <w:szCs w:val="21"/>
                <w:lang w:val="en-US" w:eastAsia="zh-CN" w:bidi="ar-SA"/>
              </w:rPr>
              <w:t>核查人员不少于2人且出示执法证件，核查过程留痕；对照举报内容精准核查，确认违法的依法处置并按时反馈；核查结果需贴合《建筑防火通用规范》（GB55037）、《消防设施通用规范》（GB55</w:t>
            </w:r>
            <w:bookmarkStart w:id="0" w:name="_GoBack"/>
            <w:bookmarkEnd w:id="0"/>
            <w:r>
              <w:rPr>
                <w:rFonts w:hint="eastAsia" w:ascii="仿宋_GB2312" w:hAnsi="仿宋_GB2312" w:eastAsia="仿宋_GB2312" w:cs="仿宋_GB2312"/>
                <w:kern w:val="2"/>
                <w:sz w:val="21"/>
                <w:szCs w:val="21"/>
                <w:lang w:val="en-US" w:eastAsia="zh-CN" w:bidi="ar-SA"/>
              </w:rPr>
              <w:t>036） 等技术标准。</w:t>
            </w:r>
          </w:p>
        </w:tc>
        <w:tc>
          <w:tcPr>
            <w:tcW w:w="2019" w:type="dxa"/>
            <w:vAlign w:val="center"/>
          </w:tcPr>
          <w:p w14:paraId="2FF99302">
            <w:pPr>
              <w:pStyle w:val="5"/>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spacing w:val="4"/>
                <w:sz w:val="28"/>
                <w:szCs w:val="28"/>
              </w:rPr>
            </w:pPr>
            <w:r>
              <w:rPr>
                <w:rFonts w:hint="eastAsia" w:ascii="仿宋_GB2312" w:eastAsia="仿宋_GB2312" w:cs="宋体"/>
                <w:color w:val="000000"/>
                <w:kern w:val="0"/>
                <w:sz w:val="22"/>
                <w:szCs w:val="22"/>
                <w:lang w:val="en-US" w:eastAsia="zh-CN"/>
              </w:rPr>
              <w:t>根据投诉举报情况决定</w:t>
            </w:r>
          </w:p>
        </w:tc>
      </w:tr>
    </w:tbl>
    <w:p w14:paraId="17EE7B7A"/>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7735F"/>
    <w:rsid w:val="02A46519"/>
    <w:rsid w:val="06640499"/>
    <w:rsid w:val="0AB1241A"/>
    <w:rsid w:val="15DE6AA4"/>
    <w:rsid w:val="162C3506"/>
    <w:rsid w:val="1C7B0A68"/>
    <w:rsid w:val="28F41F3D"/>
    <w:rsid w:val="2DF87595"/>
    <w:rsid w:val="36146820"/>
    <w:rsid w:val="4C150FBA"/>
    <w:rsid w:val="548106A8"/>
    <w:rsid w:val="561B364D"/>
    <w:rsid w:val="644129B1"/>
    <w:rsid w:val="65F242EE"/>
    <w:rsid w:val="67A36AE4"/>
    <w:rsid w:val="6E923C2D"/>
    <w:rsid w:val="6F2F65B3"/>
    <w:rsid w:val="719B4E36"/>
    <w:rsid w:val="7782124A"/>
    <w:rsid w:val="7EB42E5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Table Text"/>
    <w:basedOn w:val="1"/>
    <w:semiHidden/>
    <w:qFormat/>
    <w:uiPriority w:val="0"/>
    <w:rPr>
      <w:rFonts w:ascii="宋体" w:hAnsi="宋体" w:eastAsia="宋体" w:cs="宋体"/>
      <w:sz w:val="29"/>
      <w:szCs w:val="29"/>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2911</Words>
  <Characters>3046</Characters>
  <Lines>0</Lines>
  <Paragraphs>0</Paragraphs>
  <TotalTime>3</TotalTime>
  <ScaleCrop>false</ScaleCrop>
  <LinksUpToDate>false</LinksUpToDate>
  <CharactersWithSpaces>3055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2025-11-03T08:28:00Z</dcterms:created>
  <dc:creator>Administrator</dc:creator>
  <cp:lastModifiedBy>H</cp:lastModifiedBy>
  <dcterms:modified xsi:type="dcterms:W3CDTF">2025-12-22T09:34:55Z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eyJoZGlkIjoiMDZlMWUyNmI4YjU4MGU0YzVlY2RjMWZhOTdiODNkYTAiLCJ1c2VySWQiOiI0OTI3OTY2NDgifQ==</vt:lpwstr>
  </property>
  <property fmtid="{D5CDD505-2E9C-101B-9397-08002B2CF9AE}" pid="4" name="ICV">
    <vt:lpwstr>1712FBDA4BE5456E98F397A69C123F74_13</vt:lpwstr>
  </property>
</Properties>
</file>